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EC" w:rsidRDefault="00906EEC" w:rsidP="00906EEC">
      <w:pPr>
        <w:pStyle w:val="a3"/>
        <w:rPr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C2F3BC" wp14:editId="260D566E">
            <wp:simplePos x="0" y="0"/>
            <wp:positionH relativeFrom="column">
              <wp:posOffset>95250</wp:posOffset>
            </wp:positionH>
            <wp:positionV relativeFrom="paragraph">
              <wp:posOffset>-95250</wp:posOffset>
            </wp:positionV>
            <wp:extent cx="6645910" cy="1001395"/>
            <wp:effectExtent l="0" t="0" r="2540" b="8255"/>
            <wp:wrapTight wrapText="bothSides">
              <wp:wrapPolygon edited="0">
                <wp:start x="0" y="0"/>
                <wp:lineTo x="0" y="21367"/>
                <wp:lineTo x="21546" y="21367"/>
                <wp:lineTo x="215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пка для ком предл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EC" w:rsidRPr="00907B75" w:rsidRDefault="00906EEC" w:rsidP="00906EEC">
      <w:pPr>
        <w:jc w:val="center"/>
        <w:rPr>
          <w:b/>
          <w:i/>
          <w:color w:val="5F497A" w:themeColor="accent4" w:themeShade="BF"/>
          <w:sz w:val="28"/>
          <w:szCs w:val="28"/>
        </w:rPr>
      </w:pPr>
      <w:r w:rsidRPr="00907B75">
        <w:rPr>
          <w:b/>
          <w:i/>
          <w:color w:val="5F497A" w:themeColor="accent4" w:themeShade="BF"/>
          <w:sz w:val="28"/>
          <w:szCs w:val="28"/>
        </w:rPr>
        <w:t>Уважаемые партнеры!</w:t>
      </w:r>
    </w:p>
    <w:p w:rsidR="00906EEC" w:rsidRPr="00907B75" w:rsidRDefault="00906EEC" w:rsidP="00906EEC">
      <w:pPr>
        <w:jc w:val="center"/>
        <w:rPr>
          <w:b/>
          <w:i/>
          <w:color w:val="5F497A" w:themeColor="accent4" w:themeShade="BF"/>
          <w:sz w:val="28"/>
          <w:szCs w:val="28"/>
        </w:rPr>
      </w:pPr>
      <w:r w:rsidRPr="00907B75">
        <w:rPr>
          <w:b/>
          <w:i/>
          <w:color w:val="5F497A" w:themeColor="accent4" w:themeShade="BF"/>
          <w:sz w:val="28"/>
          <w:szCs w:val="28"/>
        </w:rPr>
        <w:t>Предлагаем Вам посетить  совместный семинар</w:t>
      </w:r>
    </w:p>
    <w:p w:rsidR="00906EEC" w:rsidRPr="00907B75" w:rsidRDefault="00906EEC" w:rsidP="00906EEC">
      <w:pPr>
        <w:contextualSpacing/>
        <w:jc w:val="center"/>
        <w:rPr>
          <w:b/>
          <w:i/>
          <w:color w:val="5F497A" w:themeColor="accent4" w:themeShade="BF"/>
          <w:sz w:val="28"/>
          <w:szCs w:val="28"/>
        </w:rPr>
      </w:pPr>
      <w:r w:rsidRPr="00907B75">
        <w:rPr>
          <w:b/>
          <w:i/>
          <w:color w:val="5F497A" w:themeColor="accent4" w:themeShade="BF"/>
          <w:sz w:val="28"/>
          <w:szCs w:val="28"/>
        </w:rPr>
        <w:t>ООО «Ваше Право Консультант Плюс» и</w:t>
      </w:r>
      <w:r w:rsidRPr="00907B75">
        <w:rPr>
          <w:b/>
          <w:color w:val="5F497A" w:themeColor="accent4" w:themeShade="BF"/>
          <w:sz w:val="28"/>
          <w:szCs w:val="28"/>
        </w:rPr>
        <w:t xml:space="preserve"> </w:t>
      </w:r>
      <w:r w:rsidRPr="00907B75">
        <w:rPr>
          <w:b/>
          <w:i/>
          <w:color w:val="5F497A" w:themeColor="accent4" w:themeShade="BF"/>
          <w:sz w:val="28"/>
          <w:szCs w:val="28"/>
        </w:rPr>
        <w:t>Палаты профессиональных бухгалтеров и аудиторов на тему:</w:t>
      </w:r>
    </w:p>
    <w:p w:rsidR="00906EEC" w:rsidRPr="00635A0B" w:rsidRDefault="00906EEC" w:rsidP="00906EEC">
      <w:pPr>
        <w:pStyle w:val="a3"/>
        <w:rPr>
          <w:b/>
          <w:bCs/>
          <w:sz w:val="28"/>
          <w:szCs w:val="28"/>
        </w:rPr>
      </w:pPr>
    </w:p>
    <w:p w:rsidR="00906EEC" w:rsidRPr="00020298" w:rsidRDefault="00177D32" w:rsidP="00906EEC">
      <w:pPr>
        <w:jc w:val="center"/>
        <w:rPr>
          <w:i/>
          <w:iCs/>
          <w:color w:val="C00000"/>
          <w:sz w:val="32"/>
          <w:szCs w:val="32"/>
        </w:rPr>
      </w:pPr>
      <w:r>
        <w:rPr>
          <w:b/>
          <w:bCs/>
          <w:color w:val="A95007"/>
          <w:sz w:val="34"/>
          <w:szCs w:val="34"/>
        </w:rPr>
        <w:t>«</w:t>
      </w:r>
      <w:r w:rsidR="003C07D2" w:rsidRPr="003C07D2">
        <w:rPr>
          <w:b/>
          <w:bCs/>
          <w:color w:val="A95007"/>
          <w:sz w:val="34"/>
          <w:szCs w:val="34"/>
        </w:rPr>
        <w:t>Бухгалтерская и налоговая отчетность за 9 месяцев 2024 года. Актуальные измене</w:t>
      </w:r>
      <w:r w:rsidR="003C07D2">
        <w:rPr>
          <w:b/>
          <w:bCs/>
          <w:color w:val="A95007"/>
          <w:sz w:val="34"/>
          <w:szCs w:val="34"/>
        </w:rPr>
        <w:t>ния налогового законодательства</w:t>
      </w:r>
      <w:r>
        <w:rPr>
          <w:b/>
          <w:bCs/>
          <w:color w:val="A95007"/>
          <w:sz w:val="34"/>
          <w:szCs w:val="34"/>
        </w:rPr>
        <w:t>»</w:t>
      </w:r>
      <w:r w:rsidRPr="00177D32">
        <w:rPr>
          <w:b/>
          <w:bCs/>
          <w:color w:val="A95007"/>
          <w:sz w:val="34"/>
          <w:szCs w:val="34"/>
        </w:rPr>
        <w:t>.</w:t>
      </w:r>
    </w:p>
    <w:p w:rsidR="00906EEC" w:rsidRDefault="00906EEC" w:rsidP="00906EEC"/>
    <w:p w:rsidR="00906EEC" w:rsidRPr="00C17367" w:rsidRDefault="00906EEC" w:rsidP="00906EEC">
      <w:pPr>
        <w:contextualSpacing/>
        <w:rPr>
          <w:b/>
          <w:color w:val="984806" w:themeColor="accent6" w:themeShade="80"/>
          <w:sz w:val="28"/>
          <w:szCs w:val="28"/>
        </w:rPr>
      </w:pPr>
      <w:r w:rsidRPr="00C17367">
        <w:rPr>
          <w:b/>
          <w:color w:val="5F497A" w:themeColor="accent4" w:themeShade="BF"/>
          <w:sz w:val="28"/>
          <w:szCs w:val="28"/>
          <w:u w:val="single"/>
        </w:rPr>
        <w:t>Дата и время</w:t>
      </w:r>
      <w:r w:rsidRPr="00C17367">
        <w:rPr>
          <w:b/>
          <w:color w:val="5F497A" w:themeColor="accent4" w:themeShade="BF"/>
          <w:sz w:val="28"/>
          <w:szCs w:val="28"/>
        </w:rPr>
        <w:t xml:space="preserve">: </w:t>
      </w:r>
      <w:r w:rsidR="003C07D2" w:rsidRPr="003C07D2">
        <w:rPr>
          <w:b/>
          <w:color w:val="984806" w:themeColor="accent6" w:themeShade="80"/>
          <w:sz w:val="28"/>
          <w:szCs w:val="28"/>
        </w:rPr>
        <w:t>7</w:t>
      </w:r>
      <w:r>
        <w:rPr>
          <w:b/>
          <w:color w:val="984806" w:themeColor="accent6" w:themeShade="80"/>
          <w:sz w:val="28"/>
          <w:szCs w:val="28"/>
        </w:rPr>
        <w:t xml:space="preserve"> </w:t>
      </w:r>
      <w:r w:rsidR="003C07D2">
        <w:rPr>
          <w:b/>
          <w:color w:val="984806" w:themeColor="accent6" w:themeShade="80"/>
          <w:sz w:val="28"/>
          <w:szCs w:val="28"/>
        </w:rPr>
        <w:t>октября</w:t>
      </w:r>
      <w:r>
        <w:rPr>
          <w:b/>
          <w:color w:val="984806" w:themeColor="accent6" w:themeShade="80"/>
          <w:sz w:val="28"/>
          <w:szCs w:val="28"/>
        </w:rPr>
        <w:t xml:space="preserve"> </w:t>
      </w:r>
      <w:r w:rsidRPr="00C17367">
        <w:rPr>
          <w:b/>
          <w:color w:val="984806" w:themeColor="accent6" w:themeShade="80"/>
          <w:sz w:val="28"/>
          <w:szCs w:val="28"/>
        </w:rPr>
        <w:t>(</w:t>
      </w:r>
      <w:r w:rsidR="003C07D2">
        <w:rPr>
          <w:b/>
          <w:color w:val="984806" w:themeColor="accent6" w:themeShade="80"/>
          <w:sz w:val="28"/>
          <w:szCs w:val="28"/>
        </w:rPr>
        <w:t>понедельник</w:t>
      </w:r>
      <w:r w:rsidRPr="00C17367">
        <w:rPr>
          <w:b/>
          <w:color w:val="984806" w:themeColor="accent6" w:themeShade="80"/>
          <w:sz w:val="28"/>
          <w:szCs w:val="28"/>
        </w:rPr>
        <w:t>) 10:00-17:00</w:t>
      </w:r>
    </w:p>
    <w:p w:rsidR="00906EEC" w:rsidRPr="00C17367" w:rsidRDefault="00906EEC" w:rsidP="00906EEC">
      <w:pPr>
        <w:contextualSpacing/>
        <w:rPr>
          <w:b/>
          <w:color w:val="17365D" w:themeColor="text2" w:themeShade="BF"/>
          <w:sz w:val="28"/>
          <w:szCs w:val="28"/>
        </w:rPr>
      </w:pPr>
    </w:p>
    <w:p w:rsidR="00906EEC" w:rsidRDefault="00906EEC" w:rsidP="00906EEC">
      <w:pPr>
        <w:shd w:val="clear" w:color="auto" w:fill="FFFFFF"/>
        <w:jc w:val="both"/>
        <w:rPr>
          <w:color w:val="17365D" w:themeColor="text2" w:themeShade="BF"/>
          <w:sz w:val="28"/>
          <w:szCs w:val="28"/>
        </w:rPr>
      </w:pPr>
      <w:r w:rsidRPr="00A460BC">
        <w:rPr>
          <w:b/>
          <w:color w:val="5F497A" w:themeColor="accent4" w:themeShade="BF"/>
          <w:sz w:val="28"/>
          <w:szCs w:val="28"/>
          <w:u w:val="single"/>
        </w:rPr>
        <w:t>Лектор</w:t>
      </w:r>
      <w:r w:rsidRPr="00A460BC">
        <w:rPr>
          <w:color w:val="000000" w:themeColor="text1"/>
          <w:sz w:val="28"/>
          <w:szCs w:val="28"/>
          <w:u w:val="single"/>
        </w:rPr>
        <w:t>:</w:t>
      </w:r>
      <w:r w:rsidRPr="00C17367">
        <w:rPr>
          <w:color w:val="000000" w:themeColor="text1"/>
          <w:sz w:val="28"/>
          <w:szCs w:val="28"/>
        </w:rPr>
        <w:t xml:space="preserve"> </w:t>
      </w:r>
      <w:r w:rsidRPr="00842595">
        <w:rPr>
          <w:b/>
          <w:color w:val="984806" w:themeColor="accent6" w:themeShade="80"/>
          <w:sz w:val="28"/>
          <w:szCs w:val="28"/>
        </w:rPr>
        <w:t>Куликов Алексей Александров</w:t>
      </w:r>
      <w:r w:rsidRPr="0028335D">
        <w:rPr>
          <w:b/>
          <w:color w:val="984806" w:themeColor="accent6" w:themeShade="80"/>
          <w:sz w:val="28"/>
          <w:szCs w:val="28"/>
        </w:rPr>
        <w:t>ич</w:t>
      </w:r>
      <w:r w:rsidRPr="0028335D">
        <w:rPr>
          <w:color w:val="244061" w:themeColor="accent1" w:themeShade="80"/>
          <w:sz w:val="28"/>
          <w:szCs w:val="28"/>
        </w:rPr>
        <w:t xml:space="preserve"> </w:t>
      </w:r>
      <w:r w:rsidRPr="00842595">
        <w:rPr>
          <w:color w:val="17365D" w:themeColor="text2" w:themeShade="BF"/>
          <w:sz w:val="28"/>
          <w:szCs w:val="28"/>
        </w:rPr>
        <w:t>- 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906EEC" w:rsidRPr="00994DF9" w:rsidRDefault="00906EEC" w:rsidP="00906EEC">
      <w:pPr>
        <w:shd w:val="clear" w:color="auto" w:fill="FFFFFF"/>
        <w:jc w:val="both"/>
        <w:rPr>
          <w:b/>
          <w:color w:val="17365D" w:themeColor="text2" w:themeShade="BF"/>
          <w:sz w:val="28"/>
          <w:szCs w:val="28"/>
        </w:rPr>
      </w:pPr>
    </w:p>
    <w:p w:rsidR="00906EEC" w:rsidRPr="00994DF9" w:rsidRDefault="00906EEC" w:rsidP="00906EEC">
      <w:pPr>
        <w:jc w:val="both"/>
        <w:rPr>
          <w:b/>
          <w:color w:val="17365D" w:themeColor="text2" w:themeShade="BF"/>
          <w:sz w:val="28"/>
          <w:szCs w:val="28"/>
        </w:rPr>
      </w:pPr>
      <w:r w:rsidRPr="00994DF9">
        <w:rPr>
          <w:b/>
          <w:color w:val="5F497A" w:themeColor="accent4" w:themeShade="BF"/>
          <w:sz w:val="28"/>
          <w:szCs w:val="28"/>
          <w:u w:val="single"/>
        </w:rPr>
        <w:t>Место проведения</w:t>
      </w:r>
      <w:r w:rsidRPr="00994DF9">
        <w:rPr>
          <w:b/>
          <w:color w:val="000000" w:themeColor="text1"/>
          <w:sz w:val="28"/>
          <w:szCs w:val="28"/>
        </w:rPr>
        <w:t xml:space="preserve">: </w:t>
      </w:r>
      <w:r w:rsidRPr="00994DF9">
        <w:rPr>
          <w:b/>
          <w:color w:val="17365D" w:themeColor="text2" w:themeShade="BF"/>
          <w:sz w:val="28"/>
          <w:szCs w:val="28"/>
        </w:rPr>
        <w:t xml:space="preserve">г. Санкт-Петербург, </w:t>
      </w:r>
      <w:r w:rsidR="003C07D2">
        <w:rPr>
          <w:b/>
          <w:color w:val="17365D" w:themeColor="text2" w:themeShade="BF"/>
          <w:sz w:val="28"/>
          <w:szCs w:val="28"/>
        </w:rPr>
        <w:t>метро: Площадь Александра Невского</w:t>
      </w:r>
      <w:r w:rsidR="00632506">
        <w:rPr>
          <w:b/>
          <w:color w:val="17365D" w:themeColor="text2" w:themeShade="BF"/>
          <w:sz w:val="28"/>
          <w:szCs w:val="28"/>
        </w:rPr>
        <w:t>-1</w:t>
      </w:r>
      <w:r w:rsidRPr="00994DF9">
        <w:rPr>
          <w:b/>
          <w:color w:val="17365D" w:themeColor="text2" w:themeShade="BF"/>
          <w:sz w:val="28"/>
          <w:szCs w:val="28"/>
        </w:rPr>
        <w:t xml:space="preserve">, </w:t>
      </w:r>
      <w:r w:rsidR="00632506">
        <w:rPr>
          <w:b/>
          <w:color w:val="17365D" w:themeColor="text2" w:themeShade="BF"/>
          <w:sz w:val="28"/>
          <w:szCs w:val="28"/>
        </w:rPr>
        <w:t>отель</w:t>
      </w:r>
      <w:r w:rsidR="003C07D2">
        <w:rPr>
          <w:b/>
          <w:color w:val="17365D" w:themeColor="text2" w:themeShade="BF"/>
          <w:sz w:val="28"/>
          <w:szCs w:val="28"/>
        </w:rPr>
        <w:t xml:space="preserve"> «Москва»</w:t>
      </w:r>
      <w:r>
        <w:rPr>
          <w:b/>
          <w:color w:val="17365D" w:themeColor="text2" w:themeShade="BF"/>
          <w:sz w:val="28"/>
          <w:szCs w:val="28"/>
        </w:rPr>
        <w:t>, 2 этаж, зал</w:t>
      </w:r>
      <w:r w:rsidR="003C07D2">
        <w:rPr>
          <w:b/>
          <w:color w:val="17365D" w:themeColor="text2" w:themeShade="BF"/>
          <w:sz w:val="28"/>
          <w:szCs w:val="28"/>
        </w:rPr>
        <w:t xml:space="preserve"> «Ленинградский»</w:t>
      </w:r>
      <w:r w:rsidRPr="00994DF9">
        <w:rPr>
          <w:b/>
          <w:color w:val="17365D" w:themeColor="text2" w:themeShade="BF"/>
          <w:sz w:val="28"/>
          <w:szCs w:val="28"/>
        </w:rPr>
        <w:t>.</w:t>
      </w:r>
    </w:p>
    <w:p w:rsidR="00906EEC" w:rsidRPr="00C17367" w:rsidRDefault="00906EEC" w:rsidP="00906EEC">
      <w:pPr>
        <w:shd w:val="clear" w:color="auto" w:fill="FFFFFF"/>
        <w:jc w:val="both"/>
        <w:rPr>
          <w:color w:val="17365D" w:themeColor="text2" w:themeShade="BF"/>
          <w:sz w:val="28"/>
          <w:szCs w:val="28"/>
        </w:rPr>
      </w:pPr>
    </w:p>
    <w:p w:rsidR="00906EEC" w:rsidRPr="00C17367" w:rsidRDefault="00906EEC" w:rsidP="00906EEC">
      <w:pPr>
        <w:jc w:val="both"/>
        <w:rPr>
          <w:color w:val="17365D" w:themeColor="text2" w:themeShade="BF"/>
          <w:sz w:val="28"/>
          <w:szCs w:val="28"/>
        </w:rPr>
      </w:pPr>
    </w:p>
    <w:p w:rsidR="00906EEC" w:rsidRDefault="00906EEC" w:rsidP="00906EEC">
      <w:pPr>
        <w:pStyle w:val="a5"/>
        <w:spacing w:after="0" w:line="240" w:lineRule="auto"/>
        <w:ind w:hanging="720"/>
        <w:jc w:val="both"/>
        <w:rPr>
          <w:rFonts w:eastAsia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17367">
        <w:rPr>
          <w:rFonts w:eastAsia="Times New Roman" w:cs="Times New Roman"/>
          <w:b/>
          <w:color w:val="5F497A" w:themeColor="accent4" w:themeShade="BF"/>
          <w:sz w:val="28"/>
          <w:szCs w:val="28"/>
          <w:u w:val="single"/>
          <w:lang w:eastAsia="ru-RU"/>
        </w:rPr>
        <w:t>В программе семинара</w:t>
      </w:r>
      <w:r w:rsidRPr="00C17367">
        <w:rPr>
          <w:rFonts w:eastAsia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</w:p>
    <w:p w:rsidR="00906EEC" w:rsidRDefault="00906EEC" w:rsidP="00906EEC">
      <w:pPr>
        <w:jc w:val="center"/>
        <w:rPr>
          <w:rStyle w:val="1"/>
          <w:rFonts w:ascii="Times New Roman" w:hAnsi="Times New Roman"/>
          <w:b/>
          <w:i/>
          <w:color w:val="002060"/>
          <w:sz w:val="27"/>
          <w:szCs w:val="27"/>
        </w:rPr>
      </w:pPr>
    </w:p>
    <w:p w:rsidR="00906EEC" w:rsidRPr="00056A67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Общие вопросы</w:t>
      </w: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CE7296" w:rsidRPr="00CE7296" w:rsidRDefault="00CE7296" w:rsidP="00CE7296">
      <w:pPr>
        <w:numPr>
          <w:ilvl w:val="0"/>
          <w:numId w:val="16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b/>
          <w:color w:val="002060"/>
          <w:sz w:val="28"/>
          <w:szCs w:val="28"/>
          <w:lang w:eastAsia="en-US"/>
        </w:rPr>
        <w:t>Налоговая амнистия для схемы «дробления бизнеса»: механизм и условия освобождения от ответственности.</w:t>
      </w:r>
    </w:p>
    <w:p w:rsidR="00CE7296" w:rsidRPr="00CE7296" w:rsidRDefault="00CE7296" w:rsidP="00CE7296">
      <w:pPr>
        <w:numPr>
          <w:ilvl w:val="0"/>
          <w:numId w:val="16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b/>
          <w:color w:val="002060"/>
          <w:sz w:val="28"/>
          <w:szCs w:val="28"/>
          <w:lang w:eastAsia="en-US"/>
        </w:rPr>
        <w:t>Реформа налогового законодательства с 2025 года: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увеличение стоимостных пределов для применения УСН;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введение обязанности по уплате НДС налогоплательщиками УСН;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выбор режима налогообложения – ОСНО или УСН;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освобождение от уплаты НДС для налогоплательщиков УСН: условия, основания, процедура;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выбор ставки НДС: основания, процедура и последствия;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изменение ставки НДС в течение налогового периода: процедура и последствия;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проверка контрагента на предмет обоснованности ставки НДС;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надлежащее формирование данных ККТ при изменении ставки НДС в течение налогового периода;</w:t>
      </w:r>
    </w:p>
    <w:p w:rsid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вопросы формирования цены договора, оформления первичных документов и </w:t>
      </w:r>
      <w:proofErr w:type="gramStart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счёт-фактур</w:t>
      </w:r>
      <w:proofErr w:type="gramEnd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 при изменении применяемой ставки НДС;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введение туристического налога.</w:t>
      </w:r>
    </w:p>
    <w:p w:rsidR="00CE7296" w:rsidRPr="00CE7296" w:rsidRDefault="00CE7296" w:rsidP="00CE7296">
      <w:pPr>
        <w:spacing w:after="200" w:line="276" w:lineRule="auto"/>
        <w:rPr>
          <w:rFonts w:eastAsiaTheme="minorHAnsi" w:cstheme="minorBidi"/>
          <w:color w:val="002060"/>
          <w:sz w:val="28"/>
          <w:szCs w:val="28"/>
          <w:lang w:eastAsia="en-US"/>
        </w:rPr>
      </w:pPr>
      <w:r>
        <w:rPr>
          <w:rFonts w:eastAsiaTheme="minorHAnsi" w:cstheme="minorBidi"/>
          <w:color w:val="002060"/>
          <w:sz w:val="28"/>
          <w:szCs w:val="28"/>
          <w:lang w:eastAsia="en-US"/>
        </w:rPr>
        <w:br w:type="page"/>
      </w:r>
    </w:p>
    <w:p w:rsidR="00CE7296" w:rsidRPr="00CE7296" w:rsidRDefault="00CE7296" w:rsidP="00CE7296">
      <w:pPr>
        <w:numPr>
          <w:ilvl w:val="0"/>
          <w:numId w:val="16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b/>
          <w:color w:val="002060"/>
          <w:sz w:val="28"/>
          <w:szCs w:val="28"/>
          <w:lang w:eastAsia="en-US"/>
        </w:rPr>
        <w:lastRenderedPageBreak/>
        <w:t>Некоторые вопросы применения трудового законодательства: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расширение сферы действия межведомственных комиссий «по зарплате»: </w:t>
      </w:r>
      <w:proofErr w:type="gramStart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контроль за</w:t>
      </w:r>
      <w:proofErr w:type="gramEnd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 задолженностью по заработной плате и принятие мер к её погашению;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уточнения при предоставлении отпусков инвалидам;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увольнение работника при установлении инвалидности;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обоснованность увольнения за прогул;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обоснованность снижения стимулирующих выплат работникам.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Изменения в проведении корпоративных процедур: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нотариальное удостоверение назначения генерального директора;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дистанционное проведение общих собраний участников (акционеров);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урегулирование механизмов выплаты дивидендов «потерянным» акционерам.</w:t>
      </w:r>
    </w:p>
    <w:p w:rsidR="00CE7296" w:rsidRPr="00CE7296" w:rsidRDefault="00CE7296" w:rsidP="00CE7296">
      <w:pPr>
        <w:numPr>
          <w:ilvl w:val="0"/>
          <w:numId w:val="16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b/>
          <w:color w:val="002060"/>
          <w:sz w:val="28"/>
          <w:szCs w:val="28"/>
          <w:lang w:eastAsia="en-US"/>
        </w:rPr>
        <w:t>Процедурные вопросы взаимодействия с налоговыми органами: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мировое соглашение по налоговым спорам (соглашение об обстоятельствах);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выемка документов в рамках налогового контроля;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истребование </w:t>
      </w:r>
      <w:proofErr w:type="gramStart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документов</w:t>
      </w:r>
      <w:proofErr w:type="gramEnd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 минуя ТКС;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продление до конца 2024 года моратория на прогрессивную шкалу начисления пеней;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отмена блокировки счетов за непредставление квитанций о получении документов по ТКС;</w:t>
      </w:r>
    </w:p>
    <w:p w:rsidR="00CE7296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нарушение налоговым</w:t>
      </w:r>
      <w:r>
        <w:rPr>
          <w:rFonts w:ascii="Courier New" w:hAnsi="Courier New"/>
          <w:sz w:val="22"/>
        </w:rPr>
        <w:t xml:space="preserve"> </w:t>
      </w:r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органом очерёдности применения обеспечительных мер: возможные последствия;</w:t>
      </w:r>
    </w:p>
    <w:p w:rsidR="00152C9D" w:rsidRPr="00CE7296" w:rsidRDefault="00CE7296" w:rsidP="00CE7296">
      <w:pPr>
        <w:numPr>
          <w:ilvl w:val="1"/>
          <w:numId w:val="16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proofErr w:type="spellStart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>невключение</w:t>
      </w:r>
      <w:proofErr w:type="spellEnd"/>
      <w:r w:rsidRPr="00CE7296">
        <w:rPr>
          <w:rFonts w:eastAsiaTheme="minorHAnsi" w:cstheme="minorBidi"/>
          <w:color w:val="002060"/>
          <w:sz w:val="28"/>
          <w:szCs w:val="28"/>
          <w:lang w:eastAsia="en-US"/>
        </w:rPr>
        <w:t xml:space="preserve"> дебиторской задолженности в состав имущества, в отношении которого вводятся обеспечительные меры.</w:t>
      </w:r>
    </w:p>
    <w:p w:rsidR="00902F77" w:rsidRPr="00902F77" w:rsidRDefault="00902F77" w:rsidP="00906EEC">
      <w:pPr>
        <w:jc w:val="center"/>
        <w:rPr>
          <w:b/>
          <w:color w:val="C00000"/>
          <w:sz w:val="28"/>
          <w:szCs w:val="28"/>
        </w:rPr>
      </w:pPr>
    </w:p>
    <w:p w:rsidR="00906EEC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НДС</w:t>
      </w:r>
    </w:p>
    <w:p w:rsidR="00056A67" w:rsidRPr="00056A67" w:rsidRDefault="00056A67" w:rsidP="00906EEC">
      <w:pPr>
        <w:jc w:val="center"/>
        <w:rPr>
          <w:b/>
          <w:color w:val="C00000"/>
          <w:sz w:val="28"/>
          <w:szCs w:val="28"/>
        </w:rPr>
      </w:pPr>
    </w:p>
    <w:p w:rsidR="003C07D2" w:rsidRPr="003C07D2" w:rsidRDefault="003C07D2" w:rsidP="003C07D2">
      <w:pPr>
        <w:numPr>
          <w:ilvl w:val="0"/>
          <w:numId w:val="15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b/>
          <w:color w:val="002060"/>
          <w:sz w:val="28"/>
          <w:szCs w:val="28"/>
          <w:lang w:eastAsia="en-US"/>
        </w:rPr>
        <w:t>Отдельные вопросы формирования налоговой базы по НДС: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введение новых налоговых льгот по НДС;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начисление НДС в отношении операций по выбытию имущества организации, в том числе вследствие противоправных действий третьих лиц;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отграничение операций по продаже металлических изделий от операций по реализации металлолома;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формирование налоговой базы при изменении ставки НДС;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начисление НДС при использовании различных (в том числе цифровых) активов;</w:t>
      </w:r>
    </w:p>
    <w:p w:rsidR="003C07D2" w:rsidRPr="003C07D2" w:rsidRDefault="003C07D2" w:rsidP="003C07D2">
      <w:pPr>
        <w:numPr>
          <w:ilvl w:val="0"/>
          <w:numId w:val="15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b/>
          <w:color w:val="002060"/>
          <w:sz w:val="28"/>
          <w:szCs w:val="28"/>
          <w:lang w:eastAsia="en-US"/>
        </w:rPr>
        <w:t>Применение пониженных ставок НДС: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ставка 0% по международным перевозкам и экспедированию, в том числе для плательщиков УСН;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ставка 10% в отношении отдельных товаров;</w:t>
      </w:r>
    </w:p>
    <w:p w:rsidR="003C07D2" w:rsidRPr="003C07D2" w:rsidRDefault="003C07D2" w:rsidP="003C07D2">
      <w:pPr>
        <w:numPr>
          <w:ilvl w:val="0"/>
          <w:numId w:val="15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b/>
          <w:color w:val="002060"/>
          <w:sz w:val="28"/>
          <w:szCs w:val="28"/>
          <w:lang w:eastAsia="en-US"/>
        </w:rPr>
        <w:t>Применение налоговых вычетов: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 xml:space="preserve">разъяснения ФНС России по оформлению </w:t>
      </w:r>
      <w:proofErr w:type="gramStart"/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корректирующих</w:t>
      </w:r>
      <w:proofErr w:type="gramEnd"/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 xml:space="preserve"> и исправительных счёт-фактур;</w:t>
      </w:r>
    </w:p>
    <w:p w:rsidR="003C07D2" w:rsidRPr="003C07D2" w:rsidRDefault="003C07D2" w:rsidP="003C07D2">
      <w:pPr>
        <w:numPr>
          <w:ilvl w:val="1"/>
          <w:numId w:val="15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3C07D2">
        <w:rPr>
          <w:rFonts w:eastAsiaTheme="minorHAnsi" w:cstheme="minorBidi"/>
          <w:color w:val="002060"/>
          <w:sz w:val="28"/>
          <w:szCs w:val="28"/>
          <w:lang w:eastAsia="en-US"/>
        </w:rPr>
        <w:t>применение налогового вычета в отношении операций, не давших положительного результата.</w:t>
      </w:r>
    </w:p>
    <w:p w:rsidR="003C07D2" w:rsidRDefault="003C07D2" w:rsidP="003C07D2">
      <w:pPr>
        <w:rPr>
          <w:rFonts w:ascii="Courier New" w:hAnsi="Courier New"/>
          <w:sz w:val="22"/>
        </w:rPr>
      </w:pPr>
    </w:p>
    <w:p w:rsidR="00906EEC" w:rsidRDefault="00906EEC" w:rsidP="00906EEC">
      <w:pPr>
        <w:rPr>
          <w:color w:val="002060"/>
          <w:sz w:val="28"/>
          <w:szCs w:val="28"/>
        </w:rPr>
      </w:pPr>
    </w:p>
    <w:p w:rsidR="00152C9D" w:rsidRPr="00056A67" w:rsidRDefault="00152C9D" w:rsidP="00906EEC">
      <w:pPr>
        <w:rPr>
          <w:color w:val="002060"/>
          <w:sz w:val="28"/>
          <w:szCs w:val="28"/>
        </w:rPr>
      </w:pP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906EEC" w:rsidRPr="00056A67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Налог на прибыль</w:t>
      </w: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A46F7D" w:rsidRPr="00A46F7D" w:rsidRDefault="00A46F7D" w:rsidP="00A46F7D">
      <w:pPr>
        <w:numPr>
          <w:ilvl w:val="0"/>
          <w:numId w:val="17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b/>
          <w:color w:val="002060"/>
          <w:sz w:val="28"/>
          <w:szCs w:val="28"/>
          <w:lang w:eastAsia="en-US"/>
        </w:rPr>
        <w:t>Изменения по налогу на прибыль: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 xml:space="preserve">продление до конца 2027 года действующего порядка учёта </w:t>
      </w:r>
      <w:proofErr w:type="gramStart"/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курсовых</w:t>
      </w:r>
      <w:proofErr w:type="gramEnd"/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 xml:space="preserve"> разниц по непогашенным обязательствам;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изменение ставки налога на прибыль с 2025 года;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введение пониженной ставки по налогу на прибыль для малых технологических компаний;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 xml:space="preserve">расширение </w:t>
      </w:r>
      <w:proofErr w:type="gramStart"/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сферы применения повышающего коэффициента признания отдельных затрат</w:t>
      </w:r>
      <w:proofErr w:type="gramEnd"/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;</w:t>
      </w:r>
    </w:p>
    <w:p w:rsidR="00A46F7D" w:rsidRPr="00A46F7D" w:rsidRDefault="00A46F7D" w:rsidP="00A46F7D">
      <w:pPr>
        <w:numPr>
          <w:ilvl w:val="0"/>
          <w:numId w:val="17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b/>
          <w:color w:val="002060"/>
          <w:sz w:val="28"/>
          <w:szCs w:val="28"/>
          <w:lang w:eastAsia="en-US"/>
        </w:rPr>
        <w:t>Отдельные вопросы признания расходов: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признание подотчётных сумм при отсутствии кассовых чеков (материальные расходы, командировочные расходы и т.п.);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расширение сферы применения федерального инвестиционного вычета;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переквалификация затрат на ремонт в расходы капитального характера (реконструкция, модернизация);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неправильная квалификация актива как основного средства и ошибка в выборе амортизационной группы;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обоснованность выплат в пользу работников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признание убытков от списания капитальных вложений, не давших результата;</w:t>
      </w:r>
    </w:p>
    <w:p w:rsidR="00A46F7D" w:rsidRPr="00A46F7D" w:rsidRDefault="00A46F7D" w:rsidP="00A46F7D">
      <w:pPr>
        <w:numPr>
          <w:ilvl w:val="0"/>
          <w:numId w:val="17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b/>
          <w:color w:val="002060"/>
          <w:sz w:val="28"/>
          <w:szCs w:val="28"/>
          <w:lang w:eastAsia="en-US"/>
        </w:rPr>
        <w:t>Исполнение обязанности налогового агента: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 xml:space="preserve">набор необходимых документов для </w:t>
      </w:r>
      <w:proofErr w:type="spellStart"/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неудержания</w:t>
      </w:r>
      <w:proofErr w:type="spellEnd"/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 xml:space="preserve"> налога на доходы;</w:t>
      </w:r>
    </w:p>
    <w:p w:rsidR="00A46F7D" w:rsidRPr="00A46F7D" w:rsidRDefault="00A46F7D" w:rsidP="00A46F7D">
      <w:pPr>
        <w:numPr>
          <w:ilvl w:val="1"/>
          <w:numId w:val="17"/>
        </w:numPr>
        <w:jc w:val="both"/>
        <w:rPr>
          <w:rFonts w:eastAsiaTheme="minorHAnsi" w:cstheme="minorBidi"/>
          <w:color w:val="002060"/>
          <w:sz w:val="28"/>
          <w:szCs w:val="28"/>
          <w:lang w:eastAsia="en-US"/>
        </w:rPr>
      </w:pPr>
      <w:r w:rsidRPr="00A46F7D">
        <w:rPr>
          <w:rFonts w:eastAsiaTheme="minorHAnsi" w:cstheme="minorBidi"/>
          <w:color w:val="002060"/>
          <w:sz w:val="28"/>
          <w:szCs w:val="28"/>
          <w:lang w:eastAsia="en-US"/>
        </w:rPr>
        <w:t>квалификация смешанных договоров для целей исполнения обязанности налогового агента.</w:t>
      </w:r>
    </w:p>
    <w:p w:rsidR="00906EEC" w:rsidRDefault="00906EEC" w:rsidP="00906EEC">
      <w:pPr>
        <w:rPr>
          <w:color w:val="002060"/>
          <w:sz w:val="28"/>
          <w:szCs w:val="28"/>
        </w:rPr>
      </w:pPr>
    </w:p>
    <w:p w:rsidR="00152C9D" w:rsidRPr="00056A67" w:rsidRDefault="00152C9D" w:rsidP="00906EEC">
      <w:pPr>
        <w:rPr>
          <w:color w:val="002060"/>
          <w:sz w:val="28"/>
          <w:szCs w:val="28"/>
        </w:rPr>
      </w:pPr>
    </w:p>
    <w:p w:rsidR="00906EEC" w:rsidRPr="00056A67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Страховые взносы</w:t>
      </w: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632506" w:rsidRPr="00632506" w:rsidRDefault="00632506" w:rsidP="00632506">
      <w:pPr>
        <w:numPr>
          <w:ilvl w:val="0"/>
          <w:numId w:val="18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Дополнительное снижение ставок страховых взносов для СМП и необходимость приведения в соответствие кодов ОКВЭД.</w:t>
      </w:r>
    </w:p>
    <w:p w:rsidR="00632506" w:rsidRPr="00632506" w:rsidRDefault="00632506" w:rsidP="00632506">
      <w:pPr>
        <w:numPr>
          <w:ilvl w:val="0"/>
          <w:numId w:val="18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 xml:space="preserve">Уточнение правил применения пониженных тарифов страховых взносов </w:t>
      </w:r>
      <w:proofErr w:type="gramStart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для</w:t>
      </w:r>
      <w:proofErr w:type="gramEnd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 xml:space="preserve"> российских ИТ-компаний, в том числе связанных с иностранными лицами.</w:t>
      </w:r>
    </w:p>
    <w:p w:rsidR="00632506" w:rsidRPr="00632506" w:rsidRDefault="00632506" w:rsidP="00632506">
      <w:pPr>
        <w:numPr>
          <w:ilvl w:val="0"/>
          <w:numId w:val="18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Перенос сроков уплаты фиксированного платежа в конце года.</w:t>
      </w:r>
    </w:p>
    <w:p w:rsidR="00632506" w:rsidRPr="00632506" w:rsidRDefault="00632506" w:rsidP="00632506">
      <w:pPr>
        <w:numPr>
          <w:ilvl w:val="0"/>
          <w:numId w:val="18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Противодействие «зарплатным схемам»: договоры с ИП, опровержение «</w:t>
      </w:r>
      <w:proofErr w:type="spellStart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самозанятости</w:t>
      </w:r>
      <w:proofErr w:type="spellEnd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».</w:t>
      </w:r>
    </w:p>
    <w:p w:rsidR="00632506" w:rsidRPr="00632506" w:rsidRDefault="00632506" w:rsidP="00632506">
      <w:pPr>
        <w:numPr>
          <w:ilvl w:val="0"/>
          <w:numId w:val="18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 xml:space="preserve">Последствия ненадлежащего оформления отношений с </w:t>
      </w:r>
      <w:proofErr w:type="spellStart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самозанятым</w:t>
      </w:r>
      <w:proofErr w:type="spellEnd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.</w:t>
      </w:r>
    </w:p>
    <w:p w:rsidR="00632506" w:rsidRPr="00632506" w:rsidRDefault="00632506" w:rsidP="00632506">
      <w:pPr>
        <w:numPr>
          <w:ilvl w:val="0"/>
          <w:numId w:val="18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Начисление страховых взносов на выплаты социального характера: суды по-прежнему на стороне налогоплательщика.</w:t>
      </w:r>
    </w:p>
    <w:p w:rsidR="00152C9D" w:rsidRDefault="00152C9D" w:rsidP="00152C9D">
      <w:pPr>
        <w:rPr>
          <w:color w:val="002060"/>
          <w:sz w:val="28"/>
          <w:szCs w:val="28"/>
        </w:rPr>
      </w:pPr>
    </w:p>
    <w:p w:rsidR="00152C9D" w:rsidRPr="00152C9D" w:rsidRDefault="00152C9D" w:rsidP="00152C9D">
      <w:pPr>
        <w:rPr>
          <w:color w:val="002060"/>
          <w:sz w:val="28"/>
          <w:szCs w:val="28"/>
        </w:rPr>
      </w:pPr>
    </w:p>
    <w:p w:rsidR="00906EEC" w:rsidRPr="00056A67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НДФЛ</w:t>
      </w: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632506" w:rsidRPr="00632506" w:rsidRDefault="00632506" w:rsidP="00632506">
      <w:pPr>
        <w:numPr>
          <w:ilvl w:val="0"/>
          <w:numId w:val="19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Вопросы применения налоговой ставки по НДФЛ в отношении дистанционных работников-нерезидентов Российской Федерации. Введение новых правил исчисления НДФЛ по гражданско-правовым договорам в отношении нерезидентов.</w:t>
      </w:r>
    </w:p>
    <w:p w:rsidR="00632506" w:rsidRPr="00632506" w:rsidRDefault="00632506" w:rsidP="00632506">
      <w:pPr>
        <w:numPr>
          <w:ilvl w:val="0"/>
          <w:numId w:val="19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lastRenderedPageBreak/>
        <w:t>Введение профессионального налогового вычета для физических лиц, не являющихся индивидуальными предпринимателями.</w:t>
      </w:r>
    </w:p>
    <w:p w:rsidR="00632506" w:rsidRPr="00632506" w:rsidRDefault="00632506" w:rsidP="00632506">
      <w:pPr>
        <w:numPr>
          <w:ilvl w:val="0"/>
          <w:numId w:val="19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Введение особого порядка начисления НДФЛ при продаже долей в уставном капитале.</w:t>
      </w:r>
    </w:p>
    <w:p w:rsidR="00632506" w:rsidRPr="00632506" w:rsidRDefault="00632506" w:rsidP="00632506">
      <w:pPr>
        <w:numPr>
          <w:ilvl w:val="0"/>
          <w:numId w:val="19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Введение прогрессивной шкалы НДФЛ и особого порядка исчисления налоговых баз.</w:t>
      </w:r>
    </w:p>
    <w:p w:rsidR="00632506" w:rsidRPr="00632506" w:rsidRDefault="00632506" w:rsidP="00632506">
      <w:pPr>
        <w:numPr>
          <w:ilvl w:val="0"/>
          <w:numId w:val="19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Новые правила предоставления налоговых вычетов.</w:t>
      </w:r>
    </w:p>
    <w:p w:rsidR="00906EEC" w:rsidRDefault="00906EEC" w:rsidP="00906EEC">
      <w:pPr>
        <w:rPr>
          <w:color w:val="002060"/>
          <w:sz w:val="28"/>
          <w:szCs w:val="28"/>
        </w:rPr>
      </w:pPr>
    </w:p>
    <w:p w:rsidR="00056A67" w:rsidRDefault="00056A67" w:rsidP="00906EEC">
      <w:pPr>
        <w:jc w:val="center"/>
        <w:rPr>
          <w:b/>
          <w:color w:val="C00000"/>
          <w:sz w:val="28"/>
          <w:szCs w:val="28"/>
        </w:rPr>
      </w:pPr>
    </w:p>
    <w:p w:rsidR="00906EEC" w:rsidRPr="00056A67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Транспортный налог</w:t>
      </w: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632506" w:rsidRPr="00632506" w:rsidRDefault="00632506" w:rsidP="00632506">
      <w:pPr>
        <w:numPr>
          <w:ilvl w:val="0"/>
          <w:numId w:val="20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Порядок определения налоговой базы в отношении дорогостоящих автомобилей.</w:t>
      </w:r>
    </w:p>
    <w:p w:rsidR="00632506" w:rsidRPr="00632506" w:rsidRDefault="00632506" w:rsidP="00632506">
      <w:pPr>
        <w:numPr>
          <w:ilvl w:val="0"/>
          <w:numId w:val="20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Вопросы исчисления налоговой базы в отношении гибридных автомобилей.</w:t>
      </w:r>
    </w:p>
    <w:p w:rsidR="00152C9D" w:rsidRPr="00B57600" w:rsidRDefault="00152C9D" w:rsidP="00152C9D">
      <w:pPr>
        <w:rPr>
          <w:color w:val="002060"/>
          <w:sz w:val="28"/>
          <w:szCs w:val="28"/>
        </w:rPr>
      </w:pP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906EEC" w:rsidRPr="00056A67" w:rsidRDefault="00906EEC" w:rsidP="00906EEC">
      <w:pPr>
        <w:jc w:val="center"/>
        <w:rPr>
          <w:b/>
          <w:color w:val="C00000"/>
          <w:sz w:val="28"/>
          <w:szCs w:val="28"/>
        </w:rPr>
      </w:pPr>
      <w:r w:rsidRPr="00056A67">
        <w:rPr>
          <w:b/>
          <w:color w:val="C00000"/>
          <w:sz w:val="28"/>
          <w:szCs w:val="28"/>
        </w:rPr>
        <w:t>Имущественные налоги</w:t>
      </w:r>
    </w:p>
    <w:p w:rsidR="00906EEC" w:rsidRPr="00056A67" w:rsidRDefault="00906EEC" w:rsidP="00906EEC">
      <w:pPr>
        <w:rPr>
          <w:color w:val="002060"/>
          <w:sz w:val="28"/>
          <w:szCs w:val="28"/>
        </w:rPr>
      </w:pPr>
    </w:p>
    <w:p w:rsidR="00632506" w:rsidRPr="00632506" w:rsidRDefault="00632506" w:rsidP="00632506">
      <w:pPr>
        <w:numPr>
          <w:ilvl w:val="0"/>
          <w:numId w:val="21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Значительное увеличение имущественных налогов на дорогостоящие объекты недвижимости.</w:t>
      </w:r>
    </w:p>
    <w:p w:rsidR="00632506" w:rsidRPr="00632506" w:rsidRDefault="00632506" w:rsidP="00632506">
      <w:pPr>
        <w:numPr>
          <w:ilvl w:val="0"/>
          <w:numId w:val="21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Вопросы квалификации активов в качестве основных средств.</w:t>
      </w:r>
    </w:p>
    <w:p w:rsidR="00632506" w:rsidRPr="00632506" w:rsidRDefault="00632506" w:rsidP="00632506">
      <w:pPr>
        <w:numPr>
          <w:ilvl w:val="0"/>
          <w:numId w:val="21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 xml:space="preserve">Неправильный расчёт налога из-за ошибки в данных </w:t>
      </w:r>
      <w:proofErr w:type="spellStart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Росреестра</w:t>
      </w:r>
      <w:proofErr w:type="spellEnd"/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.</w:t>
      </w:r>
    </w:p>
    <w:p w:rsidR="00632506" w:rsidRPr="00632506" w:rsidRDefault="00632506" w:rsidP="00632506">
      <w:pPr>
        <w:numPr>
          <w:ilvl w:val="0"/>
          <w:numId w:val="21"/>
        </w:numPr>
        <w:jc w:val="both"/>
        <w:rPr>
          <w:rFonts w:eastAsiaTheme="minorHAnsi" w:cstheme="minorBidi"/>
          <w:b/>
          <w:color w:val="002060"/>
          <w:sz w:val="28"/>
          <w:szCs w:val="28"/>
          <w:lang w:eastAsia="en-US"/>
        </w:rPr>
      </w:pPr>
      <w:r w:rsidRPr="00632506">
        <w:rPr>
          <w:rFonts w:eastAsiaTheme="minorHAnsi" w:cstheme="minorBidi"/>
          <w:b/>
          <w:color w:val="002060"/>
          <w:sz w:val="28"/>
          <w:szCs w:val="28"/>
          <w:lang w:eastAsia="en-US"/>
        </w:rPr>
        <w:t>Переквалификация движимого имущества в недвижимость – практика ФНС РФ.</w:t>
      </w:r>
    </w:p>
    <w:p w:rsidR="00906EEC" w:rsidRPr="003C07D2" w:rsidRDefault="00906EEC" w:rsidP="00906EEC">
      <w:pPr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B57600" w:rsidRPr="003C07D2" w:rsidRDefault="00B57600" w:rsidP="00906EEC">
      <w:pPr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B57600" w:rsidRPr="003C07D2" w:rsidRDefault="00B57600" w:rsidP="00906EEC">
      <w:pPr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906EEC" w:rsidRPr="00056A67" w:rsidRDefault="00906EEC" w:rsidP="00152C9D">
      <w:pPr>
        <w:jc w:val="center"/>
        <w:rPr>
          <w:b/>
          <w:bCs/>
          <w:color w:val="C00000"/>
          <w:sz w:val="28"/>
          <w:szCs w:val="28"/>
        </w:rPr>
      </w:pPr>
      <w:r w:rsidRPr="00056A67">
        <w:rPr>
          <w:b/>
          <w:bCs/>
          <w:color w:val="C00000"/>
          <w:sz w:val="28"/>
          <w:szCs w:val="28"/>
        </w:rPr>
        <w:t>Ответы на вопросы и практические рекомендации.</w:t>
      </w:r>
    </w:p>
    <w:p w:rsidR="00906EEC" w:rsidRPr="00523FA4" w:rsidRDefault="00906EEC" w:rsidP="00152C9D">
      <w:pPr>
        <w:pStyle w:val="a3"/>
        <w:jc w:val="center"/>
        <w:rPr>
          <w:b/>
          <w:sz w:val="26"/>
          <w:szCs w:val="26"/>
        </w:rPr>
      </w:pPr>
    </w:p>
    <w:p w:rsidR="00906EEC" w:rsidRPr="00907B75" w:rsidRDefault="00906EEC" w:rsidP="00152C9D">
      <w:pPr>
        <w:jc w:val="center"/>
        <w:rPr>
          <w:b/>
          <w:color w:val="17365D" w:themeColor="text2" w:themeShade="BF"/>
        </w:rPr>
      </w:pPr>
      <w:r w:rsidRPr="00DC7A5E">
        <w:rPr>
          <w:i/>
          <w:color w:val="17365D" w:themeColor="text2" w:themeShade="BF"/>
          <w:sz w:val="20"/>
          <w:szCs w:val="20"/>
        </w:rPr>
        <w:t>*</w:t>
      </w:r>
      <w:r w:rsidRPr="005F5293">
        <w:rPr>
          <w:i/>
          <w:color w:val="17365D" w:themeColor="text2" w:themeShade="BF"/>
          <w:sz w:val="20"/>
          <w:szCs w:val="20"/>
        </w:rPr>
        <w:t xml:space="preserve">Программа будет дополнена в случае принятия ко дню проведения семинара законов, вносящих изменения и дополнения </w:t>
      </w:r>
      <w:r>
        <w:rPr>
          <w:i/>
          <w:color w:val="17365D" w:themeColor="text2" w:themeShade="BF"/>
          <w:sz w:val="20"/>
          <w:szCs w:val="20"/>
        </w:rPr>
        <w:t xml:space="preserve">в </w:t>
      </w:r>
      <w:r w:rsidRPr="005F5293">
        <w:rPr>
          <w:i/>
          <w:color w:val="17365D" w:themeColor="text2" w:themeShade="BF"/>
          <w:sz w:val="20"/>
          <w:szCs w:val="20"/>
        </w:rPr>
        <w:t>законодательны</w:t>
      </w:r>
      <w:r>
        <w:rPr>
          <w:i/>
          <w:color w:val="17365D" w:themeColor="text2" w:themeShade="BF"/>
          <w:sz w:val="20"/>
          <w:szCs w:val="20"/>
        </w:rPr>
        <w:t>е</w:t>
      </w:r>
      <w:r w:rsidRPr="005F5293">
        <w:rPr>
          <w:i/>
          <w:color w:val="17365D" w:themeColor="text2" w:themeShade="BF"/>
          <w:sz w:val="20"/>
          <w:szCs w:val="20"/>
        </w:rPr>
        <w:t xml:space="preserve"> акт</w:t>
      </w:r>
      <w:r>
        <w:rPr>
          <w:i/>
          <w:color w:val="17365D" w:themeColor="text2" w:themeShade="BF"/>
          <w:sz w:val="20"/>
          <w:szCs w:val="20"/>
        </w:rPr>
        <w:t>ы</w:t>
      </w:r>
      <w:r w:rsidRPr="005F5293">
        <w:rPr>
          <w:i/>
          <w:color w:val="17365D" w:themeColor="text2" w:themeShade="BF"/>
          <w:sz w:val="20"/>
          <w:szCs w:val="20"/>
        </w:rPr>
        <w:t>, имеющи</w:t>
      </w:r>
      <w:r>
        <w:rPr>
          <w:i/>
          <w:color w:val="17365D" w:themeColor="text2" w:themeShade="BF"/>
          <w:sz w:val="20"/>
          <w:szCs w:val="20"/>
        </w:rPr>
        <w:t>е</w:t>
      </w:r>
      <w:r w:rsidRPr="005F5293">
        <w:rPr>
          <w:i/>
          <w:color w:val="17365D" w:themeColor="text2" w:themeShade="BF"/>
          <w:sz w:val="20"/>
          <w:szCs w:val="20"/>
        </w:rPr>
        <w:t xml:space="preserve"> отношение </w:t>
      </w:r>
      <w:r>
        <w:rPr>
          <w:i/>
          <w:color w:val="17365D" w:themeColor="text2" w:themeShade="BF"/>
          <w:sz w:val="20"/>
          <w:szCs w:val="20"/>
        </w:rPr>
        <w:t>к заявленной теме.</w:t>
      </w:r>
    </w:p>
    <w:p w:rsidR="00152C9D" w:rsidRDefault="00152C9D">
      <w:pPr>
        <w:spacing w:after="200" w:line="276" w:lineRule="auto"/>
        <w:rPr>
          <w:b/>
          <w:color w:val="5F497A" w:themeColor="accent4" w:themeShade="BF"/>
          <w:sz w:val="28"/>
          <w:szCs w:val="28"/>
          <w:u w:val="single"/>
        </w:rPr>
      </w:pPr>
      <w:r>
        <w:rPr>
          <w:b/>
          <w:color w:val="5F497A" w:themeColor="accent4" w:themeShade="BF"/>
          <w:sz w:val="28"/>
          <w:szCs w:val="28"/>
          <w:u w:val="single"/>
        </w:rPr>
        <w:br w:type="page"/>
      </w:r>
    </w:p>
    <w:p w:rsidR="00906EEC" w:rsidRDefault="00906EEC" w:rsidP="00906EEC">
      <w:pPr>
        <w:jc w:val="center"/>
        <w:rPr>
          <w:b/>
          <w:color w:val="5F497A" w:themeColor="accent4" w:themeShade="BF"/>
          <w:sz w:val="28"/>
          <w:szCs w:val="28"/>
          <w:u w:val="single"/>
        </w:rPr>
      </w:pPr>
    </w:p>
    <w:p w:rsidR="00906EEC" w:rsidRPr="00907B75" w:rsidRDefault="00906EEC" w:rsidP="00906EEC">
      <w:pPr>
        <w:jc w:val="center"/>
        <w:rPr>
          <w:b/>
          <w:color w:val="5F497A" w:themeColor="accent4" w:themeShade="BF"/>
          <w:sz w:val="28"/>
          <w:szCs w:val="28"/>
        </w:rPr>
      </w:pPr>
      <w:r w:rsidRPr="00907B75">
        <w:rPr>
          <w:b/>
          <w:color w:val="5F497A" w:themeColor="accent4" w:themeShade="BF"/>
          <w:sz w:val="28"/>
          <w:szCs w:val="28"/>
          <w:u w:val="single"/>
        </w:rPr>
        <w:t xml:space="preserve">Стоимость участия </w:t>
      </w:r>
    </w:p>
    <w:p w:rsidR="00906EEC" w:rsidRPr="00597443" w:rsidRDefault="00906EEC" w:rsidP="00906EEC">
      <w:pPr>
        <w:jc w:val="center"/>
        <w:rPr>
          <w:b/>
          <w:color w:val="000000" w:themeColor="text1"/>
          <w:sz w:val="20"/>
          <w:szCs w:val="28"/>
        </w:r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501"/>
      </w:tblGrid>
      <w:tr w:rsidR="00906EEC" w:rsidRPr="00597443" w:rsidTr="00AB61D6">
        <w:trPr>
          <w:trHeight w:val="212"/>
        </w:trPr>
        <w:tc>
          <w:tcPr>
            <w:tcW w:w="6097" w:type="dxa"/>
            <w:vAlign w:val="center"/>
          </w:tcPr>
          <w:p w:rsidR="00906EEC" w:rsidRPr="00DC7A5E" w:rsidRDefault="00906EEC" w:rsidP="00AB61D6">
            <w:pPr>
              <w:ind w:left="426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C7A5E">
              <w:rPr>
                <w:color w:val="0F243E" w:themeColor="text2" w:themeShade="80"/>
                <w:sz w:val="22"/>
                <w:szCs w:val="22"/>
              </w:rPr>
              <w:t>за одного слушателя от организации</w:t>
            </w:r>
          </w:p>
        </w:tc>
        <w:tc>
          <w:tcPr>
            <w:tcW w:w="4393" w:type="dxa"/>
            <w:gridSpan w:val="2"/>
          </w:tcPr>
          <w:p w:rsidR="00906EEC" w:rsidRPr="00DC7A5E" w:rsidRDefault="00902F77" w:rsidP="00AB61D6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70</w:t>
            </w:r>
            <w:r w:rsidR="00906EEC" w:rsidRPr="00DC7A5E">
              <w:rPr>
                <w:b/>
                <w:color w:val="0F243E" w:themeColor="text2" w:themeShade="80"/>
                <w:sz w:val="22"/>
                <w:szCs w:val="22"/>
              </w:rPr>
              <w:t>0</w:t>
            </w:r>
            <w:r w:rsidR="00906EEC" w:rsidRPr="00DC7A5E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 xml:space="preserve">0 </w:t>
            </w:r>
            <w:r w:rsidR="00906EEC" w:rsidRPr="00DC7A5E">
              <w:rPr>
                <w:b/>
                <w:color w:val="0F243E" w:themeColor="text2" w:themeShade="80"/>
                <w:sz w:val="22"/>
                <w:szCs w:val="22"/>
              </w:rPr>
              <w:t>руб.</w:t>
            </w:r>
          </w:p>
        </w:tc>
      </w:tr>
      <w:tr w:rsidR="00906EEC" w:rsidRPr="00597443" w:rsidTr="00AB61D6">
        <w:trPr>
          <w:trHeight w:val="307"/>
        </w:trPr>
        <w:tc>
          <w:tcPr>
            <w:tcW w:w="6097" w:type="dxa"/>
            <w:vAlign w:val="center"/>
          </w:tcPr>
          <w:p w:rsidR="00906EEC" w:rsidRPr="00DC7A5E" w:rsidRDefault="00906EEC" w:rsidP="00AB61D6">
            <w:pPr>
              <w:ind w:left="426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C7A5E">
              <w:rPr>
                <w:color w:val="0F243E" w:themeColor="text2" w:themeShade="80"/>
                <w:sz w:val="22"/>
                <w:szCs w:val="22"/>
              </w:rPr>
              <w:t>за двоих слушателей от организации</w:t>
            </w:r>
          </w:p>
        </w:tc>
        <w:tc>
          <w:tcPr>
            <w:tcW w:w="4393" w:type="dxa"/>
            <w:gridSpan w:val="2"/>
          </w:tcPr>
          <w:p w:rsidR="00906EEC" w:rsidRPr="00DC7A5E" w:rsidRDefault="00902F77" w:rsidP="00AB61D6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95</w:t>
            </w:r>
            <w:r w:rsidR="00906EEC" w:rsidRPr="00A82D92">
              <w:rPr>
                <w:b/>
                <w:color w:val="0F243E" w:themeColor="text2" w:themeShade="80"/>
                <w:sz w:val="22"/>
                <w:szCs w:val="22"/>
              </w:rPr>
              <w:t>00</w:t>
            </w:r>
            <w:r w:rsidR="00906EEC" w:rsidRPr="00DC7A5E">
              <w:rPr>
                <w:b/>
                <w:color w:val="0F243E" w:themeColor="text2" w:themeShade="80"/>
                <w:sz w:val="22"/>
                <w:szCs w:val="22"/>
              </w:rPr>
              <w:t xml:space="preserve"> руб. </w:t>
            </w:r>
          </w:p>
        </w:tc>
      </w:tr>
      <w:tr w:rsidR="00906EEC" w:rsidRPr="00597443" w:rsidTr="00AB61D6">
        <w:trPr>
          <w:trHeight w:val="307"/>
        </w:trPr>
        <w:tc>
          <w:tcPr>
            <w:tcW w:w="6097" w:type="dxa"/>
            <w:vAlign w:val="center"/>
          </w:tcPr>
          <w:p w:rsidR="00906EEC" w:rsidRPr="00DC7A5E" w:rsidRDefault="00906EEC" w:rsidP="00AB61D6">
            <w:pPr>
              <w:ind w:left="426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C7A5E">
              <w:rPr>
                <w:color w:val="0F243E" w:themeColor="text2" w:themeShade="80"/>
                <w:sz w:val="22"/>
                <w:szCs w:val="22"/>
              </w:rPr>
              <w:t>за троих слушателей от организации</w:t>
            </w:r>
          </w:p>
        </w:tc>
        <w:tc>
          <w:tcPr>
            <w:tcW w:w="4393" w:type="dxa"/>
            <w:gridSpan w:val="2"/>
          </w:tcPr>
          <w:p w:rsidR="00906EEC" w:rsidRPr="00DC7A5E" w:rsidRDefault="00906EEC" w:rsidP="00902F77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b/>
                <w:color w:val="0F243E" w:themeColor="text2" w:themeShade="80"/>
                <w:sz w:val="22"/>
                <w:szCs w:val="22"/>
              </w:rPr>
              <w:t>1</w:t>
            </w:r>
            <w:r w:rsidR="00902F77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22"/>
                <w:szCs w:val="22"/>
              </w:rPr>
              <w:t>0</w:t>
            </w:r>
            <w:r w:rsidRPr="00A82D92">
              <w:rPr>
                <w:b/>
                <w:color w:val="0F243E" w:themeColor="text2" w:themeShade="80"/>
                <w:sz w:val="22"/>
                <w:szCs w:val="22"/>
              </w:rPr>
              <w:t>00</w:t>
            </w:r>
            <w:r w:rsidRPr="00DC7A5E">
              <w:rPr>
                <w:b/>
                <w:color w:val="0F243E" w:themeColor="text2" w:themeShade="80"/>
                <w:sz w:val="22"/>
                <w:szCs w:val="22"/>
              </w:rPr>
              <w:t xml:space="preserve"> руб. </w:t>
            </w:r>
          </w:p>
        </w:tc>
      </w:tr>
      <w:tr w:rsidR="00906EEC" w:rsidRPr="00597443" w:rsidTr="00AB61D6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906EEC" w:rsidRPr="00DC7A5E" w:rsidRDefault="00906EEC" w:rsidP="00AB61D6">
            <w:pPr>
              <w:ind w:left="426"/>
              <w:jc w:val="both"/>
              <w:rPr>
                <w:b/>
                <w:color w:val="0F243E" w:themeColor="text2" w:themeShade="80"/>
                <w:sz w:val="22"/>
                <w:szCs w:val="22"/>
              </w:rPr>
            </w:pPr>
            <w:r w:rsidRPr="00DC7A5E">
              <w:rPr>
                <w:color w:val="0F243E" w:themeColor="text2" w:themeShade="80"/>
                <w:sz w:val="22"/>
                <w:szCs w:val="22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906EEC" w:rsidRPr="00DC7A5E" w:rsidRDefault="00902F77" w:rsidP="00AB61D6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85</w:t>
            </w:r>
            <w:r w:rsidR="00906EEC" w:rsidRPr="00DC7A5E">
              <w:rPr>
                <w:b/>
                <w:color w:val="0F243E" w:themeColor="text2" w:themeShade="80"/>
                <w:sz w:val="22"/>
                <w:szCs w:val="22"/>
              </w:rPr>
              <w:t>00 руб.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6EEC" w:rsidRPr="00597443" w:rsidRDefault="00906EEC" w:rsidP="00AB61D6">
            <w:pPr>
              <w:rPr>
                <w:sz w:val="20"/>
              </w:rPr>
            </w:pPr>
          </w:p>
        </w:tc>
      </w:tr>
      <w:tr w:rsidR="00906EEC" w:rsidRPr="00597443" w:rsidTr="00AB61D6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906EEC" w:rsidRPr="00DC7A5E" w:rsidRDefault="00906EEC" w:rsidP="00AB61D6">
            <w:pPr>
              <w:ind w:left="426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C7A5E">
              <w:rPr>
                <w:color w:val="0F243E" w:themeColor="text2" w:themeShade="80"/>
                <w:sz w:val="22"/>
                <w:szCs w:val="22"/>
              </w:rPr>
              <w:t xml:space="preserve">онлайн-участие </w:t>
            </w:r>
          </w:p>
        </w:tc>
        <w:tc>
          <w:tcPr>
            <w:tcW w:w="3892" w:type="dxa"/>
            <w:tcBorders>
              <w:right w:val="nil"/>
            </w:tcBorders>
          </w:tcPr>
          <w:p w:rsidR="00906EEC" w:rsidRPr="00DC7A5E" w:rsidRDefault="00906EEC" w:rsidP="00902F77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b/>
                <w:color w:val="0F243E" w:themeColor="text2" w:themeShade="80"/>
                <w:sz w:val="22"/>
                <w:szCs w:val="22"/>
              </w:rPr>
              <w:t>3</w:t>
            </w:r>
            <w:r w:rsidR="00902F77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5</w:t>
            </w:r>
            <w:r w:rsidRPr="00DC7A5E">
              <w:rPr>
                <w:b/>
                <w:color w:val="0F243E" w:themeColor="text2" w:themeShade="80"/>
                <w:sz w:val="22"/>
                <w:szCs w:val="22"/>
              </w:rPr>
              <w:t>00 руб.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6EEC" w:rsidRPr="00597443" w:rsidRDefault="00906EEC" w:rsidP="00AB61D6">
            <w:pPr>
              <w:rPr>
                <w:sz w:val="20"/>
              </w:rPr>
            </w:pPr>
          </w:p>
        </w:tc>
      </w:tr>
      <w:tr w:rsidR="00906EEC" w:rsidRPr="00597443" w:rsidTr="00AB61D6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906EEC" w:rsidRPr="00DC7A5E" w:rsidRDefault="00906EEC" w:rsidP="00AB61D6">
            <w:pPr>
              <w:ind w:left="426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C7A5E">
              <w:rPr>
                <w:color w:val="0F243E" w:themeColor="text2" w:themeShade="80"/>
                <w:sz w:val="22"/>
                <w:szCs w:val="22"/>
              </w:rPr>
              <w:t>запись</w:t>
            </w:r>
          </w:p>
        </w:tc>
        <w:tc>
          <w:tcPr>
            <w:tcW w:w="3892" w:type="dxa"/>
            <w:tcBorders>
              <w:right w:val="nil"/>
            </w:tcBorders>
          </w:tcPr>
          <w:p w:rsidR="00906EEC" w:rsidRPr="00DC7A5E" w:rsidRDefault="00906EEC" w:rsidP="00902F77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b/>
                <w:color w:val="0F243E" w:themeColor="text2" w:themeShade="80"/>
                <w:sz w:val="22"/>
                <w:szCs w:val="22"/>
              </w:rPr>
              <w:t>3</w:t>
            </w:r>
            <w:r w:rsidR="00902F77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F243E" w:themeColor="text2" w:themeShade="80"/>
                <w:sz w:val="22"/>
                <w:szCs w:val="22"/>
              </w:rPr>
              <w:t>00</w:t>
            </w:r>
            <w:r w:rsidRPr="00DC7A5E">
              <w:rPr>
                <w:b/>
                <w:color w:val="0F243E" w:themeColor="text2" w:themeShade="80"/>
                <w:sz w:val="22"/>
                <w:szCs w:val="22"/>
              </w:rPr>
              <w:t xml:space="preserve"> руб.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06EEC" w:rsidRPr="00597443" w:rsidRDefault="00906EEC" w:rsidP="00AB61D6">
            <w:pPr>
              <w:rPr>
                <w:sz w:val="20"/>
              </w:rPr>
            </w:pPr>
          </w:p>
        </w:tc>
      </w:tr>
    </w:tbl>
    <w:p w:rsidR="00906EEC" w:rsidRPr="00597443" w:rsidRDefault="00906EEC" w:rsidP="00906EEC">
      <w:pPr>
        <w:rPr>
          <w:b/>
          <w:sz w:val="20"/>
        </w:rPr>
      </w:pPr>
    </w:p>
    <w:p w:rsidR="00152C9D" w:rsidRDefault="00906EEC" w:rsidP="00906EEC">
      <w:pPr>
        <w:jc w:val="center"/>
        <w:rPr>
          <w:b/>
          <w:color w:val="17365D" w:themeColor="text2" w:themeShade="BF"/>
        </w:rPr>
      </w:pPr>
      <w:r w:rsidRPr="00907B75">
        <w:rPr>
          <w:color w:val="17365D" w:themeColor="text2" w:themeShade="BF"/>
        </w:rPr>
        <w:t>В стоимость участия входит</w:t>
      </w:r>
      <w:r w:rsidRPr="00907B75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 xml:space="preserve">кофе-брейк, бизнес-ланч, </w:t>
      </w:r>
      <w:r w:rsidRPr="00907B75">
        <w:rPr>
          <w:b/>
          <w:color w:val="17365D" w:themeColor="text2" w:themeShade="BF"/>
        </w:rPr>
        <w:t xml:space="preserve"> раздаточный материал и комплект для записи.</w:t>
      </w:r>
    </w:p>
    <w:p w:rsidR="00906EEC" w:rsidRPr="00D034AC" w:rsidRDefault="00906EEC" w:rsidP="00152C9D">
      <w:pPr>
        <w:spacing w:after="200" w:line="276" w:lineRule="auto"/>
        <w:jc w:val="center"/>
        <w:rPr>
          <w:color w:val="C00000"/>
          <w:sz w:val="28"/>
          <w:szCs w:val="28"/>
        </w:rPr>
      </w:pPr>
      <w:r w:rsidRPr="00D034AC">
        <w:rPr>
          <w:color w:val="C00000"/>
          <w:sz w:val="28"/>
          <w:szCs w:val="28"/>
        </w:rPr>
        <w:t>Подробности уточняйте по тел. +7</w:t>
      </w:r>
      <w:r w:rsidR="00A96634">
        <w:rPr>
          <w:color w:val="C00000"/>
          <w:sz w:val="28"/>
          <w:szCs w:val="28"/>
        </w:rPr>
        <w:t>9215545581</w:t>
      </w:r>
      <w:r w:rsidRPr="00D034AC">
        <w:rPr>
          <w:color w:val="C00000"/>
          <w:sz w:val="28"/>
          <w:szCs w:val="28"/>
        </w:rPr>
        <w:t xml:space="preserve"> </w:t>
      </w:r>
      <w:r w:rsidR="00A96634">
        <w:rPr>
          <w:color w:val="C00000"/>
          <w:sz w:val="28"/>
          <w:szCs w:val="28"/>
        </w:rPr>
        <w:t>Анастасия</w:t>
      </w:r>
    </w:p>
    <w:p w:rsidR="00A96634" w:rsidRPr="00A96634" w:rsidRDefault="00902F77" w:rsidP="00A96634">
      <w:pPr>
        <w:pStyle w:val="a5"/>
        <w:numPr>
          <w:ilvl w:val="0"/>
          <w:numId w:val="1"/>
        </w:numPr>
        <w:spacing w:after="0" w:line="240" w:lineRule="auto"/>
        <w:jc w:val="center"/>
        <w:rPr>
          <w:color w:val="C00000"/>
          <w:sz w:val="28"/>
          <w:szCs w:val="28"/>
        </w:rPr>
      </w:pPr>
      <w:hyperlink r:id="rId7" w:history="1">
        <w:r w:rsidR="00A96634" w:rsidRPr="00A96634">
          <w:rPr>
            <w:color w:val="C00000"/>
            <w:sz w:val="28"/>
            <w:szCs w:val="28"/>
          </w:rPr>
          <w:t>shihina_a@spb.tsk.ru</w:t>
        </w:r>
      </w:hyperlink>
      <w:bookmarkStart w:id="0" w:name="_GoBack"/>
      <w:bookmarkEnd w:id="0"/>
    </w:p>
    <w:p w:rsidR="00A96634" w:rsidRDefault="00A96634" w:rsidP="00A96634">
      <w:pPr>
        <w:pStyle w:val="a5"/>
        <w:spacing w:after="0" w:line="240" w:lineRule="auto"/>
        <w:ind w:left="771"/>
        <w:jc w:val="both"/>
        <w:rPr>
          <w:rFonts w:eastAsia="Times New Roman" w:cs="Times New Roman"/>
          <w:b/>
          <w:color w:val="244061" w:themeColor="accent1" w:themeShade="80"/>
          <w:sz w:val="20"/>
          <w:lang w:eastAsia="ru-RU"/>
        </w:rPr>
      </w:pPr>
    </w:p>
    <w:p w:rsidR="00906EEC" w:rsidRPr="00907B75" w:rsidRDefault="00906EEC" w:rsidP="00A96634">
      <w:pPr>
        <w:pStyle w:val="a5"/>
        <w:spacing w:after="0" w:line="240" w:lineRule="auto"/>
        <w:ind w:left="771"/>
        <w:jc w:val="both"/>
        <w:rPr>
          <w:rFonts w:eastAsia="Times New Roman" w:cs="Times New Roman"/>
          <w:color w:val="244061" w:themeColor="accent1" w:themeShade="80"/>
          <w:sz w:val="20"/>
          <w:lang w:eastAsia="ru-RU"/>
        </w:rPr>
      </w:pPr>
      <w:r w:rsidRPr="00907B75">
        <w:rPr>
          <w:rFonts w:eastAsia="Times New Roman" w:cs="Times New Roman"/>
          <w:b/>
          <w:color w:val="244061" w:themeColor="accent1" w:themeShade="80"/>
          <w:sz w:val="20"/>
          <w:lang w:eastAsia="ru-RU"/>
        </w:rPr>
        <w:t>Внимание! Обязательна предварительная регистрация</w:t>
      </w:r>
      <w:r>
        <w:rPr>
          <w:rFonts w:eastAsia="Times New Roman" w:cs="Times New Roman"/>
          <w:b/>
          <w:color w:val="244061" w:themeColor="accent1" w:themeShade="80"/>
          <w:sz w:val="20"/>
          <w:lang w:eastAsia="ru-RU"/>
        </w:rPr>
        <w:t xml:space="preserve"> в день проведения семинара! Просим подходить за 10-15 минут до начала мероприятия, чтобы успеть получить раздаточный материал и необходимые документы.</w:t>
      </w:r>
    </w:p>
    <w:tbl>
      <w:tblPr>
        <w:tblpPr w:leftFromText="180" w:rightFromText="180" w:vertAnchor="text" w:horzAnchor="margin" w:tblpX="108" w:tblpY="1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6EEC" w:rsidRPr="00597443" w:rsidTr="00AB61D6">
        <w:trPr>
          <w:trHeight w:val="294"/>
        </w:trPr>
        <w:tc>
          <w:tcPr>
            <w:tcW w:w="10456" w:type="dxa"/>
            <w:shd w:val="clear" w:color="auto" w:fill="auto"/>
          </w:tcPr>
          <w:p w:rsidR="00906EEC" w:rsidRPr="00907B75" w:rsidRDefault="00906EEC" w:rsidP="00AB61D6">
            <w:pPr>
              <w:ind w:firstLine="34"/>
              <w:jc w:val="both"/>
              <w:rPr>
                <w:sz w:val="20"/>
                <w:szCs w:val="20"/>
              </w:rPr>
            </w:pP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Аттестованным бухгалтерам, не имеющим задолженности по оплате взносов, выдается </w:t>
            </w:r>
            <w:r w:rsidRPr="00907B75">
              <w:rPr>
                <w:b/>
                <w:color w:val="403152" w:themeColor="accent4" w:themeShade="80"/>
                <w:sz w:val="20"/>
                <w:szCs w:val="20"/>
              </w:rPr>
              <w:t>сертификат на 10 часов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 системы </w:t>
            </w:r>
            <w:r w:rsidRPr="00907B75">
              <w:rPr>
                <w:b/>
                <w:color w:val="403152" w:themeColor="accent4" w:themeShade="80"/>
                <w:sz w:val="20"/>
                <w:szCs w:val="20"/>
                <w:lang w:val="en-US"/>
              </w:rPr>
              <w:t>UCPA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 в зачет </w:t>
            </w:r>
            <w:r w:rsidRPr="00907B75">
              <w:rPr>
                <w:b/>
                <w:color w:val="403152" w:themeColor="accent4" w:themeShade="80"/>
                <w:sz w:val="20"/>
                <w:szCs w:val="20"/>
              </w:rPr>
              <w:t>40-часовой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 программы повышения квалификации</w:t>
            </w:r>
            <w:r>
              <w:rPr>
                <w:color w:val="403152" w:themeColor="accent4" w:themeShade="80"/>
                <w:sz w:val="20"/>
                <w:szCs w:val="20"/>
              </w:rPr>
              <w:t xml:space="preserve"> (стоимость 1100 </w:t>
            </w:r>
            <w:proofErr w:type="spellStart"/>
            <w:r>
              <w:rPr>
                <w:color w:val="403152" w:themeColor="accent4" w:themeShade="80"/>
                <w:sz w:val="20"/>
                <w:szCs w:val="20"/>
              </w:rPr>
              <w:t>руб</w:t>
            </w:r>
            <w:proofErr w:type="spellEnd"/>
            <w:r>
              <w:rPr>
                <w:color w:val="403152" w:themeColor="accent4" w:themeShade="80"/>
                <w:sz w:val="20"/>
                <w:szCs w:val="20"/>
              </w:rPr>
              <w:t>)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>.</w:t>
            </w:r>
          </w:p>
        </w:tc>
      </w:tr>
    </w:tbl>
    <w:p w:rsidR="00906EEC" w:rsidRDefault="00906EEC" w:rsidP="00906EEC">
      <w:pPr>
        <w:rPr>
          <w:b/>
          <w:color w:val="17365D" w:themeColor="text2" w:themeShade="BF"/>
        </w:rPr>
      </w:pPr>
    </w:p>
    <w:p w:rsidR="00906EEC" w:rsidRDefault="00906EEC" w:rsidP="00906EEC">
      <w:pPr>
        <w:jc w:val="center"/>
        <w:rPr>
          <w:b/>
          <w:color w:val="17365D" w:themeColor="text2" w:themeShade="BF"/>
        </w:rPr>
      </w:pPr>
      <w:r w:rsidRPr="00C332E2">
        <w:rPr>
          <w:b/>
          <w:color w:val="17365D" w:themeColor="text2" w:themeShade="BF"/>
        </w:rPr>
        <w:t xml:space="preserve">Пеший маршрут от станции  метро </w:t>
      </w:r>
      <w:r w:rsidR="00632506">
        <w:rPr>
          <w:b/>
          <w:color w:val="17365D" w:themeColor="text2" w:themeShade="BF"/>
        </w:rPr>
        <w:t>Площадь Александра Невского - 1</w:t>
      </w:r>
      <w:r w:rsidRPr="00C332E2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 xml:space="preserve">до места проведения мероприятия </w:t>
      </w:r>
      <w:r w:rsidRPr="00C332E2">
        <w:rPr>
          <w:b/>
          <w:color w:val="17365D" w:themeColor="text2" w:themeShade="BF"/>
        </w:rPr>
        <w:t>представлен ниже.</w:t>
      </w:r>
    </w:p>
    <w:p w:rsidR="00906EEC" w:rsidRPr="003059D5" w:rsidRDefault="00632506" w:rsidP="00906EEC">
      <w:pPr>
        <w:jc w:val="center"/>
        <w:rPr>
          <w:b/>
          <w:color w:val="17365D" w:themeColor="text2" w:themeShade="BF"/>
        </w:rPr>
      </w:pPr>
      <w:r>
        <w:rPr>
          <w:b/>
          <w:noProof/>
          <w:color w:val="17365D" w:themeColor="text2" w:themeShade="BF"/>
        </w:rPr>
        <w:drawing>
          <wp:inline distT="0" distB="0" distL="0" distR="0">
            <wp:extent cx="3962400" cy="346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3A" w:rsidRDefault="0047083A"/>
    <w:sectPr w:rsidR="0047083A" w:rsidSect="00635A0B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18"/>
    <w:multiLevelType w:val="multilevel"/>
    <w:tmpl w:val="835CF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567667"/>
    <w:multiLevelType w:val="multilevel"/>
    <w:tmpl w:val="34A62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585F5F"/>
    <w:multiLevelType w:val="multilevel"/>
    <w:tmpl w:val="FBB04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16573C1D"/>
    <w:multiLevelType w:val="hybridMultilevel"/>
    <w:tmpl w:val="487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B3E3A"/>
    <w:multiLevelType w:val="multilevel"/>
    <w:tmpl w:val="2B363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AA0C1C"/>
    <w:multiLevelType w:val="hybridMultilevel"/>
    <w:tmpl w:val="3794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4120A"/>
    <w:multiLevelType w:val="multilevel"/>
    <w:tmpl w:val="7B304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800A42"/>
    <w:multiLevelType w:val="multilevel"/>
    <w:tmpl w:val="4BCEA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5E3CFD"/>
    <w:multiLevelType w:val="hybridMultilevel"/>
    <w:tmpl w:val="EBA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7945"/>
    <w:multiLevelType w:val="multilevel"/>
    <w:tmpl w:val="D1AC6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5E119B8"/>
    <w:multiLevelType w:val="multilevel"/>
    <w:tmpl w:val="B57CE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243CF1"/>
    <w:multiLevelType w:val="multilevel"/>
    <w:tmpl w:val="33361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9A44071"/>
    <w:multiLevelType w:val="multilevel"/>
    <w:tmpl w:val="D84A3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B3A05C6"/>
    <w:multiLevelType w:val="multilevel"/>
    <w:tmpl w:val="7EE6CF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EE71A03"/>
    <w:multiLevelType w:val="multilevel"/>
    <w:tmpl w:val="8D569C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1402F26"/>
    <w:multiLevelType w:val="multilevel"/>
    <w:tmpl w:val="25D81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1C0915"/>
    <w:multiLevelType w:val="multilevel"/>
    <w:tmpl w:val="4B36CF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30B4904"/>
    <w:multiLevelType w:val="multilevel"/>
    <w:tmpl w:val="E66C4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A75B3E"/>
    <w:multiLevelType w:val="hybridMultilevel"/>
    <w:tmpl w:val="A1B4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816C5"/>
    <w:multiLevelType w:val="multilevel"/>
    <w:tmpl w:val="5AD63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15"/>
  </w:num>
  <w:num w:numId="15">
    <w:abstractNumId w:val="18"/>
  </w:num>
  <w:num w:numId="16">
    <w:abstractNumId w:val="16"/>
  </w:num>
  <w:num w:numId="17">
    <w:abstractNumId w:val="0"/>
  </w:num>
  <w:num w:numId="18">
    <w:abstractNumId w:val="11"/>
  </w:num>
  <w:num w:numId="19">
    <w:abstractNumId w:val="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EC"/>
    <w:rsid w:val="00056A67"/>
    <w:rsid w:val="00135689"/>
    <w:rsid w:val="00152C9D"/>
    <w:rsid w:val="00177D32"/>
    <w:rsid w:val="003C07D2"/>
    <w:rsid w:val="0047083A"/>
    <w:rsid w:val="00632506"/>
    <w:rsid w:val="00902F77"/>
    <w:rsid w:val="00906EEC"/>
    <w:rsid w:val="00A460BC"/>
    <w:rsid w:val="00A46F7D"/>
    <w:rsid w:val="00A96634"/>
    <w:rsid w:val="00B57600"/>
    <w:rsid w:val="00C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Мой"/>
    <w:qFormat/>
    <w:rsid w:val="0090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qFormat/>
    <w:rsid w:val="00906EEC"/>
    <w:pPr>
      <w:shd w:val="clear" w:color="auto" w:fill="FFFFFF"/>
      <w:ind w:firstLine="567"/>
    </w:pPr>
    <w:rPr>
      <w:rFonts w:eastAsiaTheme="minorHAnsi"/>
      <w:lang w:eastAsia="en-US"/>
    </w:rPr>
  </w:style>
  <w:style w:type="character" w:customStyle="1" w:styleId="a4">
    <w:name w:val="Статья Знак"/>
    <w:basedOn w:val="a0"/>
    <w:link w:val="a3"/>
    <w:rsid w:val="00906EE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906EEC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6">
    <w:name w:val="Table Grid"/>
    <w:basedOn w:val="a1"/>
    <w:uiPriority w:val="59"/>
    <w:rsid w:val="0090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1"/>
    <w:rsid w:val="00906EEC"/>
    <w:rPr>
      <w:rFonts w:ascii="XO Thames" w:hAnsi="XO Thames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06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EE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96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Мой"/>
    <w:qFormat/>
    <w:rsid w:val="0090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qFormat/>
    <w:rsid w:val="00906EEC"/>
    <w:pPr>
      <w:shd w:val="clear" w:color="auto" w:fill="FFFFFF"/>
      <w:ind w:firstLine="567"/>
    </w:pPr>
    <w:rPr>
      <w:rFonts w:eastAsiaTheme="minorHAnsi"/>
      <w:lang w:eastAsia="en-US"/>
    </w:rPr>
  </w:style>
  <w:style w:type="character" w:customStyle="1" w:styleId="a4">
    <w:name w:val="Статья Знак"/>
    <w:basedOn w:val="a0"/>
    <w:link w:val="a3"/>
    <w:rsid w:val="00906EE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906EEC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6">
    <w:name w:val="Table Grid"/>
    <w:basedOn w:val="a1"/>
    <w:uiPriority w:val="59"/>
    <w:rsid w:val="0090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1"/>
    <w:rsid w:val="00906EEC"/>
    <w:rPr>
      <w:rFonts w:ascii="XO Thames" w:hAnsi="XO Thames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06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EE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96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hihina_a@spb.t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Наталья Александровна</dc:creator>
  <cp:lastModifiedBy>Шихина Анастасия Андреевна</cp:lastModifiedBy>
  <cp:revision>6</cp:revision>
  <dcterms:created xsi:type="dcterms:W3CDTF">2024-05-20T14:35:00Z</dcterms:created>
  <dcterms:modified xsi:type="dcterms:W3CDTF">2024-08-22T06:47:00Z</dcterms:modified>
</cp:coreProperties>
</file>