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59F4D393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B472CF">
        <w:rPr>
          <w:b/>
          <w:bCs/>
          <w:color w:val="984806" w:themeColor="accent6" w:themeShade="80"/>
          <w:sz w:val="30"/>
          <w:szCs w:val="30"/>
        </w:rPr>
        <w:t xml:space="preserve">Актуальные вопросы применения </w:t>
      </w:r>
      <w:r w:rsidR="003E3F9B">
        <w:rPr>
          <w:b/>
          <w:bCs/>
          <w:color w:val="984806" w:themeColor="accent6" w:themeShade="80"/>
          <w:sz w:val="30"/>
          <w:szCs w:val="30"/>
        </w:rPr>
        <w:t xml:space="preserve"> налогового законодательства</w:t>
      </w:r>
      <w:r w:rsidR="00B472CF">
        <w:rPr>
          <w:b/>
          <w:bCs/>
          <w:color w:val="984806" w:themeColor="accent6" w:themeShade="80"/>
          <w:sz w:val="30"/>
          <w:szCs w:val="30"/>
        </w:rPr>
        <w:t xml:space="preserve">. </w:t>
      </w:r>
      <w:r w:rsidR="003E3F9B">
        <w:rPr>
          <w:b/>
          <w:bCs/>
          <w:color w:val="984806" w:themeColor="accent6" w:themeShade="80"/>
          <w:sz w:val="30"/>
          <w:szCs w:val="30"/>
        </w:rPr>
        <w:t xml:space="preserve">Новшества в бухгалтерской и налоговой отчетности за </w:t>
      </w:r>
      <w:r w:rsidR="003E3F9B">
        <w:rPr>
          <w:b/>
          <w:bCs/>
          <w:color w:val="984806" w:themeColor="accent6" w:themeShade="80"/>
          <w:sz w:val="30"/>
          <w:szCs w:val="30"/>
          <w:lang w:val="en-US"/>
        </w:rPr>
        <w:t>I</w:t>
      </w:r>
      <w:r w:rsidR="003E3F9B" w:rsidRPr="003E3F9B">
        <w:rPr>
          <w:b/>
          <w:bCs/>
          <w:color w:val="984806" w:themeColor="accent6" w:themeShade="80"/>
          <w:sz w:val="30"/>
          <w:szCs w:val="30"/>
        </w:rPr>
        <w:t xml:space="preserve"> </w:t>
      </w:r>
      <w:r w:rsidR="003E3F9B">
        <w:rPr>
          <w:b/>
          <w:bCs/>
          <w:color w:val="984806" w:themeColor="accent6" w:themeShade="80"/>
          <w:sz w:val="30"/>
          <w:szCs w:val="30"/>
        </w:rPr>
        <w:t xml:space="preserve">квартал </w:t>
      </w:r>
      <w:r w:rsidR="003E3F9B" w:rsidRPr="003E3F9B">
        <w:rPr>
          <w:b/>
          <w:bCs/>
          <w:color w:val="984806" w:themeColor="accent6" w:themeShade="80"/>
          <w:sz w:val="30"/>
          <w:szCs w:val="30"/>
        </w:rPr>
        <w:t>2023 год</w:t>
      </w:r>
      <w:r w:rsidR="003E3F9B">
        <w:rPr>
          <w:b/>
          <w:bCs/>
          <w:color w:val="984806" w:themeColor="accent6" w:themeShade="80"/>
          <w:sz w:val="30"/>
          <w:szCs w:val="30"/>
        </w:rPr>
        <w:t>а</w:t>
      </w:r>
      <w:r w:rsidR="005B5ABB" w:rsidRPr="005B5ABB">
        <w:rPr>
          <w:b/>
          <w:bCs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316D264B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5536BF">
        <w:rPr>
          <w:b/>
          <w:color w:val="984806" w:themeColor="accent6" w:themeShade="80"/>
          <w:sz w:val="28"/>
          <w:szCs w:val="28"/>
        </w:rPr>
        <w:t>19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5536BF">
        <w:rPr>
          <w:b/>
          <w:color w:val="984806" w:themeColor="accent6" w:themeShade="80"/>
          <w:sz w:val="28"/>
          <w:szCs w:val="28"/>
        </w:rPr>
        <w:t>апре</w:t>
      </w:r>
      <w:r w:rsidR="0093614A">
        <w:rPr>
          <w:b/>
          <w:color w:val="984806" w:themeColor="accent6" w:themeShade="80"/>
          <w:sz w:val="28"/>
          <w:szCs w:val="28"/>
        </w:rPr>
        <w:t>л</w:t>
      </w:r>
      <w:r w:rsidR="00AE6C1F">
        <w:rPr>
          <w:b/>
          <w:color w:val="984806" w:themeColor="accent6" w:themeShade="80"/>
          <w:sz w:val="28"/>
          <w:szCs w:val="28"/>
        </w:rPr>
        <w:t>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5536BF">
        <w:rPr>
          <w:b/>
          <w:color w:val="984806" w:themeColor="accent6" w:themeShade="80"/>
          <w:sz w:val="28"/>
          <w:szCs w:val="28"/>
        </w:rPr>
        <w:t>среда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28335D">
        <w:rPr>
          <w:b/>
          <w:color w:val="984806" w:themeColor="accent6" w:themeShade="80"/>
          <w:sz w:val="28"/>
          <w:szCs w:val="28"/>
        </w:rPr>
        <w:t>ич</w:t>
      </w:r>
      <w:r w:rsidR="00842595" w:rsidRPr="0028335D">
        <w:rPr>
          <w:color w:val="244061" w:themeColor="accent1" w:themeShade="80"/>
          <w:sz w:val="28"/>
          <w:szCs w:val="28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</w:t>
      </w:r>
      <w:bookmarkStart w:id="0" w:name="_GoBack"/>
      <w:bookmarkEnd w:id="0"/>
      <w:r w:rsidR="00842595" w:rsidRPr="00842595">
        <w:rPr>
          <w:color w:val="17365D" w:themeColor="text2" w:themeShade="BF"/>
          <w:sz w:val="28"/>
          <w:szCs w:val="28"/>
        </w:rPr>
        <w:t>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4E3B1BF0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Общие вопросы</w:t>
      </w:r>
    </w:p>
    <w:p w14:paraId="4CAB9DA1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1308CD3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1.</w:t>
      </w:r>
      <w:r w:rsidRPr="00D45777">
        <w:rPr>
          <w:color w:val="17365D" w:themeColor="text2" w:themeShade="BF"/>
          <w:sz w:val="27"/>
          <w:szCs w:val="27"/>
        </w:rPr>
        <w:tab/>
        <w:t>Введение в гражданский оборот электронных документов, связанных с договором автомобильной перевозки.</w:t>
      </w:r>
    </w:p>
    <w:p w14:paraId="53B4A79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2.</w:t>
      </w:r>
      <w:r w:rsidRPr="00D45777">
        <w:rPr>
          <w:color w:val="17365D" w:themeColor="text2" w:themeShade="BF"/>
          <w:sz w:val="27"/>
          <w:szCs w:val="27"/>
        </w:rPr>
        <w:tab/>
        <w:t>Способы выявления и доказывания налоговыми органами налоговых схем: новые разъяснения ФНС России.</w:t>
      </w:r>
    </w:p>
    <w:p w14:paraId="548D4C8D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3.</w:t>
      </w:r>
      <w:r w:rsidRPr="00D45777">
        <w:rPr>
          <w:color w:val="17365D" w:themeColor="text2" w:themeShade="BF"/>
          <w:sz w:val="27"/>
          <w:szCs w:val="27"/>
        </w:rPr>
        <w:tab/>
        <w:t>Ключевые контрольные соотношения, утверждённые ФНС России.</w:t>
      </w:r>
    </w:p>
    <w:p w14:paraId="4BBEA61F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4.</w:t>
      </w:r>
      <w:r w:rsidRPr="00D45777">
        <w:rPr>
          <w:color w:val="17365D" w:themeColor="text2" w:themeShade="BF"/>
          <w:sz w:val="27"/>
          <w:szCs w:val="27"/>
        </w:rPr>
        <w:tab/>
        <w:t>Ожидаемые поправки в УК РФ в части налоговых правонарушений:</w:t>
      </w:r>
    </w:p>
    <w:p w14:paraId="6BF7D87D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4.1.</w:t>
      </w:r>
      <w:r w:rsidRPr="00D45777">
        <w:rPr>
          <w:color w:val="17365D" w:themeColor="text2" w:themeShade="BF"/>
          <w:sz w:val="27"/>
          <w:szCs w:val="27"/>
        </w:rPr>
        <w:tab/>
        <w:t>смягчение ответственности за уклонение от уплаты налогов;</w:t>
      </w:r>
    </w:p>
    <w:p w14:paraId="1E391C76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4.2.</w:t>
      </w:r>
      <w:r w:rsidRPr="00D45777">
        <w:rPr>
          <w:color w:val="17365D" w:themeColor="text2" w:themeShade="BF"/>
          <w:sz w:val="27"/>
          <w:szCs w:val="27"/>
        </w:rPr>
        <w:tab/>
        <w:t>введение самостоятельной статьи УК РФ за фальсификацию документов, формирующих «обоснованную» налоговую выгоду.</w:t>
      </w:r>
    </w:p>
    <w:p w14:paraId="1005A7D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</w:t>
      </w:r>
      <w:r w:rsidRPr="00D45777">
        <w:rPr>
          <w:color w:val="17365D" w:themeColor="text2" w:themeShade="BF"/>
          <w:sz w:val="27"/>
          <w:szCs w:val="27"/>
        </w:rPr>
        <w:tab/>
        <w:t>Гражданско-правовые проблемы, влияющие на учётные аспекты:</w:t>
      </w:r>
    </w:p>
    <w:p w14:paraId="4403EBA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5.1.</w:t>
      </w:r>
      <w:r w:rsidRPr="00D45777">
        <w:rPr>
          <w:color w:val="17365D" w:themeColor="text2" w:themeShade="BF"/>
          <w:sz w:val="27"/>
          <w:szCs w:val="27"/>
        </w:rPr>
        <w:tab/>
        <w:t>признание выручки по односторонним документам о реализации;</w:t>
      </w:r>
    </w:p>
    <w:p w14:paraId="6574EAC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5.2.</w:t>
      </w:r>
      <w:r w:rsidRPr="00D45777">
        <w:rPr>
          <w:color w:val="17365D" w:themeColor="text2" w:themeShade="BF"/>
          <w:sz w:val="27"/>
          <w:szCs w:val="27"/>
        </w:rPr>
        <w:tab/>
        <w:t>признание убытками затрат, в составе которых имеется «входящий» НДС;</w:t>
      </w:r>
    </w:p>
    <w:p w14:paraId="5160484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5.3.</w:t>
      </w:r>
      <w:r w:rsidRPr="00D45777">
        <w:rPr>
          <w:color w:val="17365D" w:themeColor="text2" w:themeShade="BF"/>
          <w:sz w:val="27"/>
          <w:szCs w:val="27"/>
        </w:rPr>
        <w:tab/>
        <w:t xml:space="preserve">признание убытками вычета по НДС, не применённого ввиду невыдачи </w:t>
      </w:r>
      <w:proofErr w:type="gramStart"/>
      <w:r w:rsidRPr="00D45777">
        <w:rPr>
          <w:color w:val="17365D" w:themeColor="text2" w:themeShade="BF"/>
          <w:sz w:val="27"/>
          <w:szCs w:val="27"/>
        </w:rPr>
        <w:t>счёт-фактуры</w:t>
      </w:r>
      <w:proofErr w:type="gramEnd"/>
      <w:r w:rsidRPr="00D45777">
        <w:rPr>
          <w:color w:val="17365D" w:themeColor="text2" w:themeShade="BF"/>
          <w:sz w:val="27"/>
          <w:szCs w:val="27"/>
        </w:rPr>
        <w:t xml:space="preserve"> контрагентом;</w:t>
      </w:r>
    </w:p>
    <w:p w14:paraId="75C0F5FF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5.4.</w:t>
      </w:r>
      <w:r w:rsidRPr="00D45777">
        <w:rPr>
          <w:color w:val="17365D" w:themeColor="text2" w:themeShade="BF"/>
          <w:sz w:val="27"/>
          <w:szCs w:val="27"/>
        </w:rPr>
        <w:tab/>
        <w:t>«просроченный» вычет по НДС – убыток для организации, который взыскивается с виновных лиц;</w:t>
      </w:r>
    </w:p>
    <w:p w14:paraId="06AA38A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5.5.</w:t>
      </w:r>
      <w:r w:rsidRPr="00D45777">
        <w:rPr>
          <w:color w:val="17365D" w:themeColor="text2" w:themeShade="BF"/>
          <w:sz w:val="27"/>
          <w:szCs w:val="27"/>
        </w:rPr>
        <w:tab/>
        <w:t>«налоговая оговорка» не всегда основание для взыскания убытков.</w:t>
      </w:r>
    </w:p>
    <w:p w14:paraId="4B4CA38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6.</w:t>
      </w:r>
      <w:r w:rsidRPr="00D45777">
        <w:rPr>
          <w:color w:val="17365D" w:themeColor="text2" w:themeShade="BF"/>
          <w:sz w:val="27"/>
          <w:szCs w:val="27"/>
        </w:rPr>
        <w:tab/>
        <w:t>Разъяснения ФНС России по применению ЕНС и представлению уведомлений.</w:t>
      </w:r>
    </w:p>
    <w:p w14:paraId="56296C3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7.</w:t>
      </w:r>
      <w:r w:rsidRPr="00D45777">
        <w:rPr>
          <w:color w:val="17365D" w:themeColor="text2" w:themeShade="BF"/>
          <w:sz w:val="27"/>
          <w:szCs w:val="27"/>
        </w:rPr>
        <w:tab/>
        <w:t>Взаимодействие с налоговыми органами по отдельным вопросам:</w:t>
      </w:r>
    </w:p>
    <w:p w14:paraId="0E2990D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lastRenderedPageBreak/>
        <w:t>7.1.</w:t>
      </w:r>
      <w:r w:rsidRPr="00D45777">
        <w:rPr>
          <w:color w:val="17365D" w:themeColor="text2" w:themeShade="BF"/>
          <w:sz w:val="27"/>
          <w:szCs w:val="27"/>
        </w:rPr>
        <w:tab/>
        <w:t>определение момента назначения выездной налоговой проверки;</w:t>
      </w:r>
    </w:p>
    <w:p w14:paraId="6BA547B0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7.2.</w:t>
      </w:r>
      <w:r w:rsidRPr="00D45777">
        <w:rPr>
          <w:color w:val="17365D" w:themeColor="text2" w:themeShade="BF"/>
          <w:sz w:val="27"/>
          <w:szCs w:val="27"/>
        </w:rPr>
        <w:tab/>
        <w:t>оспаривание полномочий третьих лиц на подписание налоговой декларации;</w:t>
      </w:r>
    </w:p>
    <w:p w14:paraId="3EBC19C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7.3.</w:t>
      </w:r>
      <w:r w:rsidRPr="00D45777">
        <w:rPr>
          <w:color w:val="17365D" w:themeColor="text2" w:themeShade="BF"/>
          <w:sz w:val="27"/>
          <w:szCs w:val="27"/>
        </w:rPr>
        <w:tab/>
        <w:t>оспаривание решений налогового органа любыми заинтересованными лицами.</w:t>
      </w:r>
    </w:p>
    <w:p w14:paraId="5134F3D4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777AE960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4157EE27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D45777">
        <w:rPr>
          <w:b/>
          <w:bCs/>
          <w:color w:val="17365D" w:themeColor="text2" w:themeShade="BF"/>
          <w:sz w:val="27"/>
          <w:szCs w:val="27"/>
        </w:rPr>
        <w:t>НДС</w:t>
      </w:r>
    </w:p>
    <w:p w14:paraId="655825C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01AD6A4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8.</w:t>
      </w:r>
      <w:r w:rsidRPr="00D45777">
        <w:rPr>
          <w:color w:val="17365D" w:themeColor="text2" w:themeShade="BF"/>
          <w:sz w:val="27"/>
          <w:szCs w:val="27"/>
        </w:rPr>
        <w:tab/>
        <w:t>Отдельные вопросы формирования объекта обложения и налоговой базы НДС:</w:t>
      </w:r>
    </w:p>
    <w:p w14:paraId="74D307B9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8.1.</w:t>
      </w:r>
      <w:r w:rsidRPr="00D45777">
        <w:rPr>
          <w:color w:val="17365D" w:themeColor="text2" w:themeShade="BF"/>
          <w:sz w:val="27"/>
          <w:szCs w:val="27"/>
        </w:rPr>
        <w:tab/>
        <w:t>реализация изъятого имущества;</w:t>
      </w:r>
    </w:p>
    <w:p w14:paraId="5EDC2D8F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8.2.</w:t>
      </w:r>
      <w:r w:rsidRPr="00D45777">
        <w:rPr>
          <w:color w:val="17365D" w:themeColor="text2" w:themeShade="BF"/>
          <w:sz w:val="27"/>
          <w:szCs w:val="27"/>
        </w:rPr>
        <w:tab/>
        <w:t>аренда государственного имущества;</w:t>
      </w:r>
    </w:p>
    <w:p w14:paraId="3FCCA057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8.3.</w:t>
      </w:r>
      <w:r w:rsidRPr="00D45777">
        <w:rPr>
          <w:color w:val="17365D" w:themeColor="text2" w:themeShade="BF"/>
          <w:sz w:val="27"/>
          <w:szCs w:val="27"/>
        </w:rPr>
        <w:tab/>
        <w:t>соотношение оплаты по договору и возмещения ущерба: отрицательное вознаграждение или изменение цены сделки после исполнения договора;</w:t>
      </w:r>
    </w:p>
    <w:p w14:paraId="282FF7D5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8.4.</w:t>
      </w:r>
      <w:r w:rsidRPr="00D45777">
        <w:rPr>
          <w:color w:val="17365D" w:themeColor="text2" w:themeShade="BF"/>
          <w:sz w:val="27"/>
          <w:szCs w:val="27"/>
        </w:rPr>
        <w:tab/>
        <w:t>обоснованность предоставления премий и бонусов по договору.</w:t>
      </w:r>
    </w:p>
    <w:p w14:paraId="5343722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9.</w:t>
      </w:r>
      <w:r w:rsidRPr="00D45777">
        <w:rPr>
          <w:color w:val="17365D" w:themeColor="text2" w:themeShade="BF"/>
          <w:sz w:val="27"/>
          <w:szCs w:val="27"/>
        </w:rPr>
        <w:tab/>
        <w:t>Вопросы применения ставки НДС.</w:t>
      </w:r>
    </w:p>
    <w:p w14:paraId="5D7E4E54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10.</w:t>
      </w:r>
      <w:r w:rsidRPr="00D45777">
        <w:rPr>
          <w:color w:val="17365D" w:themeColor="text2" w:themeShade="BF"/>
          <w:sz w:val="27"/>
          <w:szCs w:val="27"/>
        </w:rPr>
        <w:tab/>
        <w:t>Применение налоговых вычетов по НДС:</w:t>
      </w:r>
    </w:p>
    <w:p w14:paraId="518FCD66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10.1.</w:t>
      </w:r>
      <w:r w:rsidRPr="00D45777">
        <w:rPr>
          <w:color w:val="17365D" w:themeColor="text2" w:themeShade="BF"/>
          <w:sz w:val="27"/>
          <w:szCs w:val="27"/>
        </w:rPr>
        <w:tab/>
        <w:t>налоговые вычеты по лизинговым договорам;</w:t>
      </w:r>
    </w:p>
    <w:p w14:paraId="14C79694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10.2.</w:t>
      </w:r>
      <w:r w:rsidRPr="00D45777">
        <w:rPr>
          <w:color w:val="17365D" w:themeColor="text2" w:themeShade="BF"/>
          <w:sz w:val="27"/>
          <w:szCs w:val="27"/>
        </w:rPr>
        <w:tab/>
        <w:t>исчисление трёхлетнего срока для применения вычета;</w:t>
      </w:r>
    </w:p>
    <w:p w14:paraId="47E85B0C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10.3.</w:t>
      </w:r>
      <w:r w:rsidRPr="00D45777">
        <w:rPr>
          <w:color w:val="17365D" w:themeColor="text2" w:themeShade="BF"/>
          <w:sz w:val="27"/>
          <w:szCs w:val="27"/>
        </w:rPr>
        <w:tab/>
        <w:t>определённость относительно целей использования актива;</w:t>
      </w:r>
    </w:p>
    <w:p w14:paraId="37F9A670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10.4.</w:t>
      </w:r>
      <w:r w:rsidRPr="00D45777">
        <w:rPr>
          <w:color w:val="17365D" w:themeColor="text2" w:themeShade="BF"/>
          <w:sz w:val="27"/>
          <w:szCs w:val="27"/>
        </w:rPr>
        <w:tab/>
        <w:t>восстановление «входящего» Н</w:t>
      </w:r>
      <w:proofErr w:type="gramStart"/>
      <w:r w:rsidRPr="00D45777">
        <w:rPr>
          <w:color w:val="17365D" w:themeColor="text2" w:themeShade="BF"/>
          <w:sz w:val="27"/>
          <w:szCs w:val="27"/>
        </w:rPr>
        <w:t>ДС в сл</w:t>
      </w:r>
      <w:proofErr w:type="gramEnd"/>
      <w:r w:rsidRPr="00D45777">
        <w:rPr>
          <w:color w:val="17365D" w:themeColor="text2" w:themeShade="BF"/>
          <w:sz w:val="27"/>
          <w:szCs w:val="27"/>
        </w:rPr>
        <w:t>учае субсидирования за счёт государственных средств затрат на приобретение активов.</w:t>
      </w:r>
    </w:p>
    <w:p w14:paraId="7F72F0AC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7787FC74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36ECE5A7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D45777">
        <w:rPr>
          <w:b/>
          <w:bCs/>
          <w:color w:val="17365D" w:themeColor="text2" w:themeShade="BF"/>
          <w:sz w:val="27"/>
          <w:szCs w:val="27"/>
        </w:rPr>
        <w:t>Налог на прибыль</w:t>
      </w:r>
    </w:p>
    <w:p w14:paraId="393306B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75958C85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11.</w:t>
      </w:r>
      <w:r w:rsidRPr="00D45777">
        <w:rPr>
          <w:color w:val="17365D" w:themeColor="text2" w:themeShade="BF"/>
          <w:sz w:val="27"/>
          <w:szCs w:val="27"/>
        </w:rPr>
        <w:tab/>
        <w:t>Отдельные вопросы признания доходов для целей налогообложения:</w:t>
      </w:r>
    </w:p>
    <w:p w14:paraId="053CB5B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11.1.</w:t>
      </w:r>
      <w:r w:rsidRPr="00D45777">
        <w:rPr>
          <w:color w:val="17365D" w:themeColor="text2" w:themeShade="BF"/>
          <w:sz w:val="27"/>
          <w:szCs w:val="27"/>
        </w:rPr>
        <w:tab/>
        <w:t>отграничение выручки от возмещения убытков;</w:t>
      </w:r>
    </w:p>
    <w:p w14:paraId="05130605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11.2.</w:t>
      </w:r>
      <w:r w:rsidRPr="00D45777">
        <w:rPr>
          <w:color w:val="17365D" w:themeColor="text2" w:themeShade="BF"/>
          <w:sz w:val="27"/>
          <w:szCs w:val="27"/>
        </w:rPr>
        <w:tab/>
        <w:t>включение в состав доходов просроченной кредиторской задолженности.</w:t>
      </w:r>
    </w:p>
    <w:p w14:paraId="45DAA29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12.</w:t>
      </w:r>
      <w:r w:rsidRPr="00D45777">
        <w:rPr>
          <w:color w:val="17365D" w:themeColor="text2" w:themeShade="BF"/>
          <w:sz w:val="27"/>
          <w:szCs w:val="27"/>
        </w:rPr>
        <w:tab/>
        <w:t>Квалификация расходов по правилам статьи 252 НК РФ:</w:t>
      </w:r>
    </w:p>
    <w:p w14:paraId="6F9B69B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12.1.</w:t>
      </w:r>
      <w:r w:rsidRPr="00D45777">
        <w:rPr>
          <w:color w:val="17365D" w:themeColor="text2" w:themeShade="BF"/>
          <w:sz w:val="27"/>
          <w:szCs w:val="27"/>
        </w:rPr>
        <w:tab/>
        <w:t xml:space="preserve">деление расходов на </w:t>
      </w:r>
      <w:proofErr w:type="gramStart"/>
      <w:r w:rsidRPr="00D45777">
        <w:rPr>
          <w:color w:val="17365D" w:themeColor="text2" w:themeShade="BF"/>
          <w:sz w:val="27"/>
          <w:szCs w:val="27"/>
        </w:rPr>
        <w:t>прямые</w:t>
      </w:r>
      <w:proofErr w:type="gramEnd"/>
      <w:r w:rsidRPr="00D45777">
        <w:rPr>
          <w:color w:val="17365D" w:themeColor="text2" w:themeShade="BF"/>
          <w:sz w:val="27"/>
          <w:szCs w:val="27"/>
        </w:rPr>
        <w:t xml:space="preserve"> и косвенные, текущие и капитальные;</w:t>
      </w:r>
    </w:p>
    <w:p w14:paraId="383397E7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12.2.</w:t>
      </w:r>
      <w:r w:rsidRPr="00D45777">
        <w:rPr>
          <w:color w:val="17365D" w:themeColor="text2" w:themeShade="BF"/>
          <w:sz w:val="27"/>
          <w:szCs w:val="27"/>
        </w:rPr>
        <w:tab/>
        <w:t>экономическое обоснование расходов.</w:t>
      </w:r>
    </w:p>
    <w:p w14:paraId="2E574DAA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</w:t>
      </w:r>
      <w:r w:rsidRPr="00D45777">
        <w:rPr>
          <w:color w:val="17365D" w:themeColor="text2" w:themeShade="BF"/>
          <w:sz w:val="27"/>
          <w:szCs w:val="27"/>
        </w:rPr>
        <w:tab/>
        <w:t>Признание отдельных расходов для целей налогообложения:</w:t>
      </w:r>
    </w:p>
    <w:p w14:paraId="664B36F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13.1.</w:t>
      </w:r>
      <w:r w:rsidRPr="00D45777">
        <w:rPr>
          <w:color w:val="17365D" w:themeColor="text2" w:themeShade="BF"/>
          <w:sz w:val="27"/>
          <w:szCs w:val="27"/>
        </w:rPr>
        <w:tab/>
        <w:t>обоснование расходов на разработку новых способов производства;</w:t>
      </w:r>
    </w:p>
    <w:p w14:paraId="6E87A0A0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13.2.</w:t>
      </w:r>
      <w:r w:rsidRPr="00D45777">
        <w:rPr>
          <w:color w:val="17365D" w:themeColor="text2" w:themeShade="BF"/>
          <w:sz w:val="27"/>
          <w:szCs w:val="27"/>
        </w:rPr>
        <w:tab/>
        <w:t>признание расходов по договорам лизинга;</w:t>
      </w:r>
    </w:p>
    <w:p w14:paraId="642A1B99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13.3.</w:t>
      </w:r>
      <w:r w:rsidRPr="00D45777">
        <w:rPr>
          <w:color w:val="17365D" w:themeColor="text2" w:themeShade="BF"/>
          <w:sz w:val="27"/>
          <w:szCs w:val="27"/>
        </w:rPr>
        <w:tab/>
        <w:t>документальное подтверждение командировочных расходов;</w:t>
      </w:r>
    </w:p>
    <w:p w14:paraId="3E71B7FD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13.4.</w:t>
      </w:r>
      <w:r w:rsidRPr="00D45777">
        <w:rPr>
          <w:color w:val="17365D" w:themeColor="text2" w:themeShade="BF"/>
          <w:sz w:val="27"/>
          <w:szCs w:val="27"/>
        </w:rPr>
        <w:tab/>
        <w:t>подтверждение различных современных интернет-услуг;</w:t>
      </w:r>
    </w:p>
    <w:p w14:paraId="2BAC44F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13.5.</w:t>
      </w:r>
      <w:r w:rsidRPr="00D45777">
        <w:rPr>
          <w:color w:val="17365D" w:themeColor="text2" w:themeShade="BF"/>
          <w:sz w:val="27"/>
          <w:szCs w:val="27"/>
        </w:rPr>
        <w:tab/>
        <w:t>обоснование платежей по договору, превышающие цену сделки (бонусы, премии).</w:t>
      </w:r>
    </w:p>
    <w:p w14:paraId="0ADEB2B1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1C79E68D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0B8E762F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D45777">
        <w:rPr>
          <w:b/>
          <w:bCs/>
          <w:color w:val="17365D" w:themeColor="text2" w:themeShade="BF"/>
          <w:sz w:val="27"/>
          <w:szCs w:val="27"/>
        </w:rPr>
        <w:t>Страховые взносы</w:t>
      </w:r>
    </w:p>
    <w:p w14:paraId="73589D12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298EBDFE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14.</w:t>
      </w:r>
      <w:r w:rsidRPr="00D45777">
        <w:rPr>
          <w:color w:val="17365D" w:themeColor="text2" w:themeShade="BF"/>
          <w:sz w:val="27"/>
          <w:szCs w:val="27"/>
        </w:rPr>
        <w:tab/>
        <w:t>Разъяснения ФПСС РФ относительно гражданско-правовых договоров:</w:t>
      </w:r>
    </w:p>
    <w:p w14:paraId="641B75E3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14.1.</w:t>
      </w:r>
      <w:r w:rsidRPr="00D45777">
        <w:rPr>
          <w:color w:val="17365D" w:themeColor="text2" w:themeShade="BF"/>
          <w:sz w:val="27"/>
          <w:szCs w:val="27"/>
        </w:rPr>
        <w:tab/>
        <w:t>представление информации о заключении и прекращении действия таких договоров;</w:t>
      </w:r>
    </w:p>
    <w:p w14:paraId="0C8683A6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14.2.</w:t>
      </w:r>
      <w:r w:rsidRPr="00D45777">
        <w:rPr>
          <w:color w:val="17365D" w:themeColor="text2" w:themeShade="BF"/>
          <w:sz w:val="27"/>
          <w:szCs w:val="27"/>
        </w:rPr>
        <w:tab/>
        <w:t>виды договоров, формирующих объект обложения страховыми взносами.</w:t>
      </w:r>
    </w:p>
    <w:p w14:paraId="1F752649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15.</w:t>
      </w:r>
      <w:r w:rsidRPr="00D45777">
        <w:rPr>
          <w:color w:val="17365D" w:themeColor="text2" w:themeShade="BF"/>
          <w:sz w:val="27"/>
          <w:szCs w:val="27"/>
        </w:rPr>
        <w:tab/>
        <w:t>Отдельные вопросы начисления страховых взносов: «скрытые» платежи работникам организац</w:t>
      </w:r>
      <w:proofErr w:type="gramStart"/>
      <w:r w:rsidRPr="00D45777">
        <w:rPr>
          <w:color w:val="17365D" w:themeColor="text2" w:themeShade="BF"/>
          <w:sz w:val="27"/>
          <w:szCs w:val="27"/>
        </w:rPr>
        <w:t>ии и её</w:t>
      </w:r>
      <w:proofErr w:type="gramEnd"/>
      <w:r w:rsidRPr="00D45777">
        <w:rPr>
          <w:color w:val="17365D" w:themeColor="text2" w:themeShade="BF"/>
          <w:sz w:val="27"/>
          <w:szCs w:val="27"/>
        </w:rPr>
        <w:t xml:space="preserve"> бенефициарам, «необоснованные» расходы руководства организации;</w:t>
      </w:r>
    </w:p>
    <w:p w14:paraId="6C4A9416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lastRenderedPageBreak/>
        <w:t>16.</w:t>
      </w:r>
      <w:r w:rsidRPr="00D45777">
        <w:rPr>
          <w:color w:val="17365D" w:themeColor="text2" w:themeShade="BF"/>
          <w:sz w:val="27"/>
          <w:szCs w:val="27"/>
        </w:rPr>
        <w:tab/>
        <w:t>Выплаты в пользу работников, не формирующих объекта обложения страховыми взносами: проживание и проезд работников, лечение и профилактика работников, оплата благ для детей работников.</w:t>
      </w:r>
    </w:p>
    <w:p w14:paraId="041FFA78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59D8856A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628319B5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D45777">
        <w:rPr>
          <w:b/>
          <w:bCs/>
          <w:color w:val="17365D" w:themeColor="text2" w:themeShade="BF"/>
          <w:sz w:val="27"/>
          <w:szCs w:val="27"/>
        </w:rPr>
        <w:t>НДФЛ</w:t>
      </w:r>
    </w:p>
    <w:p w14:paraId="5A7E2BAA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355DFCB7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17.</w:t>
      </w:r>
      <w:r w:rsidRPr="00D45777">
        <w:rPr>
          <w:color w:val="17365D" w:themeColor="text2" w:themeShade="BF"/>
          <w:sz w:val="27"/>
          <w:szCs w:val="27"/>
        </w:rPr>
        <w:tab/>
        <w:t>Представление 6-НДФЛ по итогам первого квартала 2023 года:</w:t>
      </w:r>
    </w:p>
    <w:p w14:paraId="71B4B7C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17.1.</w:t>
      </w:r>
      <w:r w:rsidRPr="00D45777">
        <w:rPr>
          <w:color w:val="17365D" w:themeColor="text2" w:themeShade="BF"/>
          <w:sz w:val="27"/>
          <w:szCs w:val="27"/>
        </w:rPr>
        <w:tab/>
        <w:t>сопоставление данных с ежемесячными уведомлениями по НДФЛ;</w:t>
      </w:r>
    </w:p>
    <w:p w14:paraId="3CFBD33E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17.2.</w:t>
      </w:r>
      <w:r w:rsidRPr="00D45777">
        <w:rPr>
          <w:color w:val="17365D" w:themeColor="text2" w:themeShade="BF"/>
          <w:sz w:val="27"/>
          <w:szCs w:val="27"/>
        </w:rPr>
        <w:tab/>
        <w:t>уточнение доходов по командировкам и по подотчётным суммам.</w:t>
      </w:r>
    </w:p>
    <w:p w14:paraId="23E3CBF7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18.</w:t>
      </w:r>
      <w:r w:rsidRPr="00D45777">
        <w:rPr>
          <w:color w:val="17365D" w:themeColor="text2" w:themeShade="BF"/>
          <w:sz w:val="27"/>
          <w:szCs w:val="27"/>
        </w:rPr>
        <w:tab/>
        <w:t>Обязанность налогового агента в отношении «скрытых» выплат в пользу работников и бенефициаров организации: последствия неисполнения.</w:t>
      </w:r>
    </w:p>
    <w:p w14:paraId="75147F6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2E693105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148A5E1E" w14:textId="77777777" w:rsidR="00D45777" w:rsidRPr="00D45777" w:rsidRDefault="00D45777" w:rsidP="00D45777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D45777">
        <w:rPr>
          <w:b/>
          <w:bCs/>
          <w:color w:val="17365D" w:themeColor="text2" w:themeShade="BF"/>
          <w:sz w:val="27"/>
          <w:szCs w:val="27"/>
        </w:rPr>
        <w:t>Имущественные налоги</w:t>
      </w:r>
    </w:p>
    <w:p w14:paraId="1B495B73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6846073E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19.</w:t>
      </w:r>
      <w:r w:rsidRPr="00D45777">
        <w:rPr>
          <w:color w:val="17365D" w:themeColor="text2" w:themeShade="BF"/>
          <w:sz w:val="27"/>
          <w:szCs w:val="27"/>
        </w:rPr>
        <w:tab/>
        <w:t>Вопросы представления уведомлений о суммах исчисленных транспортного, земельного налога и налога на имущество организаций.</w:t>
      </w:r>
    </w:p>
    <w:p w14:paraId="6190C5C4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20.</w:t>
      </w:r>
      <w:r w:rsidRPr="00D45777">
        <w:rPr>
          <w:color w:val="17365D" w:themeColor="text2" w:themeShade="BF"/>
          <w:sz w:val="27"/>
          <w:szCs w:val="27"/>
        </w:rPr>
        <w:tab/>
        <w:t>Отдельные вопросы исчисления налога на имущество организаций: формирование стоимости основных средств, момент возникновения вещных прав как основание для принятия к учёту основных средств.</w:t>
      </w:r>
    </w:p>
    <w:p w14:paraId="09FFCDCB" w14:textId="77777777" w:rsidR="00D45777" w:rsidRP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21.</w:t>
      </w:r>
      <w:r w:rsidRPr="00D45777">
        <w:rPr>
          <w:color w:val="17365D" w:themeColor="text2" w:themeShade="BF"/>
          <w:sz w:val="27"/>
          <w:szCs w:val="27"/>
        </w:rPr>
        <w:tab/>
        <w:t>Отдельные вопросы по транспортному налогу: прекращение розыска транспортного средства, расхождение данных налогоплательщика и налогового органа.</w:t>
      </w:r>
    </w:p>
    <w:p w14:paraId="06C9FD0C" w14:textId="77777777" w:rsid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  <w:r w:rsidRPr="00D45777">
        <w:rPr>
          <w:color w:val="17365D" w:themeColor="text2" w:themeShade="BF"/>
          <w:sz w:val="27"/>
          <w:szCs w:val="27"/>
        </w:rPr>
        <w:t>22.</w:t>
      </w:r>
      <w:r w:rsidRPr="00D45777">
        <w:rPr>
          <w:color w:val="17365D" w:themeColor="text2" w:themeShade="BF"/>
          <w:sz w:val="27"/>
          <w:szCs w:val="27"/>
        </w:rPr>
        <w:tab/>
        <w:t>Вопросы применения пониженных ставок по земельному налогу.</w:t>
      </w:r>
    </w:p>
    <w:p w14:paraId="4EBCBF21" w14:textId="77777777" w:rsidR="00D45777" w:rsidRDefault="00D45777" w:rsidP="00D45777">
      <w:pPr>
        <w:jc w:val="both"/>
        <w:rPr>
          <w:color w:val="17365D" w:themeColor="text2" w:themeShade="BF"/>
          <w:sz w:val="27"/>
          <w:szCs w:val="27"/>
        </w:rPr>
      </w:pPr>
    </w:p>
    <w:p w14:paraId="11E4AF99" w14:textId="0DFD6FF5" w:rsidR="00263855" w:rsidRPr="00C830EC" w:rsidRDefault="005F5293" w:rsidP="00D45777">
      <w:pPr>
        <w:jc w:val="both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5B0C9283" w:rsidR="00E51A2E" w:rsidRPr="00DC7A5E" w:rsidRDefault="00FF640D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67480B9C" w:rsidR="00E51A2E" w:rsidRPr="00DC7A5E" w:rsidRDefault="00AE6C1F" w:rsidP="00AF4AF9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2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0669E683" w:rsidR="00E51A2E" w:rsidRPr="00DC7A5E" w:rsidRDefault="00E51A2E" w:rsidP="00C43484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7696094A" w:rsidR="00E51A2E" w:rsidRPr="00DC7A5E" w:rsidRDefault="00A82D92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EE01BFA" w:rsidR="00E51A2E" w:rsidRPr="00DC7A5E" w:rsidRDefault="00E51A2E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7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77777777" w:rsidR="00E51A2E" w:rsidRPr="00907B75" w:rsidRDefault="00E51A2E" w:rsidP="00AC254F">
      <w:pPr>
        <w:pStyle w:val="aa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0DB3B494" w14:textId="3BA88644" w:rsidR="00635A0B" w:rsidRPr="00C332E2" w:rsidRDefault="00994DF9" w:rsidP="00C332E2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C8B00BF" w14:textId="5FEADF1E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lastRenderedPageBreak/>
        <w:drawing>
          <wp:inline distT="0" distB="0" distL="0" distR="0" wp14:anchorId="05A105F4" wp14:editId="0D6E1C3D">
            <wp:extent cx="4957825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2885" cy="3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8335D"/>
    <w:rsid w:val="00293A88"/>
    <w:rsid w:val="002E2594"/>
    <w:rsid w:val="00340A58"/>
    <w:rsid w:val="003A060B"/>
    <w:rsid w:val="003B2EA6"/>
    <w:rsid w:val="003E3F9B"/>
    <w:rsid w:val="004474CA"/>
    <w:rsid w:val="00454173"/>
    <w:rsid w:val="00477273"/>
    <w:rsid w:val="004B7363"/>
    <w:rsid w:val="004D68A5"/>
    <w:rsid w:val="00516E25"/>
    <w:rsid w:val="00523FA4"/>
    <w:rsid w:val="005536BF"/>
    <w:rsid w:val="00565080"/>
    <w:rsid w:val="005674BF"/>
    <w:rsid w:val="005B5ABB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3614A"/>
    <w:rsid w:val="009421D5"/>
    <w:rsid w:val="009840CD"/>
    <w:rsid w:val="00994DF9"/>
    <w:rsid w:val="00A82D92"/>
    <w:rsid w:val="00AC254F"/>
    <w:rsid w:val="00AE6C1F"/>
    <w:rsid w:val="00AF4AF9"/>
    <w:rsid w:val="00B44B54"/>
    <w:rsid w:val="00B472CF"/>
    <w:rsid w:val="00BD46AC"/>
    <w:rsid w:val="00C17367"/>
    <w:rsid w:val="00C332E2"/>
    <w:rsid w:val="00C43484"/>
    <w:rsid w:val="00C830EC"/>
    <w:rsid w:val="00CC0F60"/>
    <w:rsid w:val="00D45777"/>
    <w:rsid w:val="00DB5B5E"/>
    <w:rsid w:val="00DC7A5E"/>
    <w:rsid w:val="00DD310A"/>
    <w:rsid w:val="00E43885"/>
    <w:rsid w:val="00E5070E"/>
    <w:rsid w:val="00E51A2E"/>
    <w:rsid w:val="00EA7565"/>
    <w:rsid w:val="00EB2E34"/>
    <w:rsid w:val="00EF6180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573C2-A022-41F8-9D94-92C5C2CBB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2</cp:revision>
  <cp:lastPrinted>2022-06-20T09:20:00Z</cp:lastPrinted>
  <dcterms:created xsi:type="dcterms:W3CDTF">2023-03-14T12:39:00Z</dcterms:created>
  <dcterms:modified xsi:type="dcterms:W3CDTF">2023-03-14T12:39:00Z</dcterms:modified>
</cp:coreProperties>
</file>