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A061" w14:textId="001AF5B7" w:rsidR="00635A0B" w:rsidRDefault="00635A0B" w:rsidP="00635A0B">
      <w:pPr>
        <w:pStyle w:val="a3"/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AEA3F" wp14:editId="7460810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459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546" y="2136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36B8" w14:textId="77777777" w:rsidR="00635A0B" w:rsidRPr="00907B75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Уважаемые партнеры!</w:t>
      </w:r>
    </w:p>
    <w:p w14:paraId="22D01A7F" w14:textId="77777777" w:rsidR="00635A0B" w:rsidRPr="00907B75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Предлагаем Вам посетить  совместный семинар</w:t>
      </w:r>
    </w:p>
    <w:p w14:paraId="249531F6" w14:textId="77777777" w:rsidR="00635A0B" w:rsidRPr="00907B75" w:rsidRDefault="00635A0B" w:rsidP="00635A0B">
      <w:pPr>
        <w:contextualSpacing/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ООО «Ваше Право Консультант Плюс» и</w:t>
      </w:r>
      <w:r w:rsidRPr="00907B75">
        <w:rPr>
          <w:b/>
          <w:color w:val="5F497A" w:themeColor="accent4" w:themeShade="BF"/>
          <w:sz w:val="28"/>
          <w:szCs w:val="28"/>
        </w:rPr>
        <w:t xml:space="preserve"> </w:t>
      </w:r>
      <w:r w:rsidRPr="00907B75">
        <w:rPr>
          <w:b/>
          <w:i/>
          <w:color w:val="5F497A" w:themeColor="accent4" w:themeShade="BF"/>
          <w:sz w:val="28"/>
          <w:szCs w:val="28"/>
        </w:rPr>
        <w:t>Палаты профессиональных бухгалтеров и аудиторов на тему:</w:t>
      </w:r>
    </w:p>
    <w:p w14:paraId="13174E13" w14:textId="77777777" w:rsidR="00635A0B" w:rsidRPr="00635A0B" w:rsidRDefault="00635A0B" w:rsidP="008703D5">
      <w:pPr>
        <w:pStyle w:val="a3"/>
        <w:rPr>
          <w:b/>
          <w:bCs/>
          <w:sz w:val="28"/>
          <w:szCs w:val="28"/>
        </w:rPr>
      </w:pPr>
    </w:p>
    <w:p w14:paraId="4CB73C7D" w14:textId="73E5244E" w:rsidR="00B44B54" w:rsidRPr="00A82D92" w:rsidRDefault="00635A0B" w:rsidP="00A82D92">
      <w:pPr>
        <w:pStyle w:val="a3"/>
        <w:jc w:val="center"/>
        <w:rPr>
          <w:b/>
          <w:bCs/>
          <w:color w:val="984806" w:themeColor="accent6" w:themeShade="80"/>
          <w:sz w:val="30"/>
          <w:szCs w:val="30"/>
        </w:rPr>
      </w:pPr>
      <w:r w:rsidRPr="00DC7A5E">
        <w:rPr>
          <w:b/>
          <w:bCs/>
          <w:color w:val="984806" w:themeColor="accent6" w:themeShade="80"/>
          <w:sz w:val="30"/>
          <w:szCs w:val="30"/>
        </w:rPr>
        <w:t>«</w:t>
      </w:r>
      <w:r w:rsidR="00842595" w:rsidRPr="00842595">
        <w:rPr>
          <w:b/>
          <w:bCs/>
          <w:color w:val="984806" w:themeColor="accent6" w:themeShade="80"/>
          <w:sz w:val="30"/>
          <w:szCs w:val="30"/>
        </w:rPr>
        <w:t>Бухгалтерская и налоговая отчетность за первое полугодие 2022 года. Антикризисные меры и иные актуальные изменения налогового законодательства</w:t>
      </w:r>
      <w:r w:rsidRPr="00DC7A5E">
        <w:rPr>
          <w:b/>
          <w:color w:val="984806" w:themeColor="accent6" w:themeShade="80"/>
          <w:sz w:val="30"/>
          <w:szCs w:val="30"/>
        </w:rPr>
        <w:t>»</w:t>
      </w:r>
    </w:p>
    <w:p w14:paraId="2C9874A8" w14:textId="77777777" w:rsidR="00B44B54" w:rsidRDefault="00B44B54" w:rsidP="00B44B54"/>
    <w:p w14:paraId="5D1C55EE" w14:textId="12BAC339" w:rsidR="00635A0B" w:rsidRPr="00C17367" w:rsidRDefault="00635A0B" w:rsidP="00635A0B">
      <w:pPr>
        <w:contextualSpacing/>
        <w:rPr>
          <w:b/>
          <w:color w:val="984806" w:themeColor="accent6" w:themeShade="80"/>
          <w:sz w:val="28"/>
          <w:szCs w:val="28"/>
        </w:rPr>
      </w:pPr>
      <w:r w:rsidRPr="00C17367">
        <w:rPr>
          <w:b/>
          <w:color w:val="5F497A" w:themeColor="accent4" w:themeShade="BF"/>
          <w:sz w:val="28"/>
          <w:szCs w:val="28"/>
          <w:u w:val="single"/>
        </w:rPr>
        <w:t>Дата и время</w:t>
      </w:r>
      <w:r w:rsidRPr="00C17367">
        <w:rPr>
          <w:b/>
          <w:color w:val="5F497A" w:themeColor="accent4" w:themeShade="BF"/>
          <w:sz w:val="28"/>
          <w:szCs w:val="28"/>
        </w:rPr>
        <w:t xml:space="preserve">: </w:t>
      </w:r>
      <w:r w:rsidR="00842595" w:rsidRPr="00842595">
        <w:rPr>
          <w:b/>
          <w:color w:val="984806" w:themeColor="accent6" w:themeShade="80"/>
          <w:sz w:val="28"/>
          <w:szCs w:val="28"/>
        </w:rPr>
        <w:t>25</w:t>
      </w:r>
      <w:r w:rsidRPr="00C17367">
        <w:rPr>
          <w:b/>
          <w:color w:val="984806" w:themeColor="accent6" w:themeShade="80"/>
          <w:sz w:val="28"/>
          <w:szCs w:val="28"/>
        </w:rPr>
        <w:t xml:space="preserve"> </w:t>
      </w:r>
      <w:r w:rsidR="00842595">
        <w:rPr>
          <w:b/>
          <w:color w:val="984806" w:themeColor="accent6" w:themeShade="80"/>
          <w:sz w:val="28"/>
          <w:szCs w:val="28"/>
        </w:rPr>
        <w:t>мая</w:t>
      </w:r>
      <w:r w:rsidRPr="00C17367">
        <w:rPr>
          <w:b/>
          <w:color w:val="984806" w:themeColor="accent6" w:themeShade="80"/>
          <w:sz w:val="28"/>
          <w:szCs w:val="28"/>
        </w:rPr>
        <w:t xml:space="preserve"> (</w:t>
      </w:r>
      <w:r w:rsidR="00842595">
        <w:rPr>
          <w:b/>
          <w:color w:val="984806" w:themeColor="accent6" w:themeShade="80"/>
          <w:sz w:val="28"/>
          <w:szCs w:val="28"/>
        </w:rPr>
        <w:t>среда</w:t>
      </w:r>
      <w:r w:rsidRPr="00C17367">
        <w:rPr>
          <w:b/>
          <w:color w:val="984806" w:themeColor="accent6" w:themeShade="80"/>
          <w:sz w:val="28"/>
          <w:szCs w:val="28"/>
        </w:rPr>
        <w:t>) 10:00-17:00</w:t>
      </w:r>
    </w:p>
    <w:p w14:paraId="602BADF8" w14:textId="77777777" w:rsidR="00E51A2E" w:rsidRPr="00C17367" w:rsidRDefault="00E51A2E" w:rsidP="00635A0B">
      <w:pPr>
        <w:contextualSpacing/>
        <w:rPr>
          <w:b/>
          <w:color w:val="17365D" w:themeColor="text2" w:themeShade="BF"/>
          <w:sz w:val="28"/>
          <w:szCs w:val="28"/>
        </w:rPr>
      </w:pPr>
    </w:p>
    <w:p w14:paraId="7F6EA6DF" w14:textId="77777777" w:rsidR="00842595" w:rsidRPr="00842595" w:rsidRDefault="00635A0B" w:rsidP="00842595">
      <w:pPr>
        <w:shd w:val="clear" w:color="auto" w:fill="FFFFFF"/>
        <w:jc w:val="both"/>
        <w:rPr>
          <w:color w:val="17365D" w:themeColor="text2" w:themeShade="BF"/>
          <w:sz w:val="28"/>
          <w:szCs w:val="28"/>
        </w:rPr>
      </w:pPr>
      <w:r w:rsidRPr="00C17367">
        <w:rPr>
          <w:b/>
          <w:color w:val="5F497A" w:themeColor="accent4" w:themeShade="BF"/>
          <w:sz w:val="28"/>
          <w:szCs w:val="28"/>
        </w:rPr>
        <w:t>Лектор</w:t>
      </w:r>
      <w:r w:rsidRPr="00C17367">
        <w:rPr>
          <w:color w:val="000000" w:themeColor="text1"/>
          <w:sz w:val="28"/>
          <w:szCs w:val="28"/>
        </w:rPr>
        <w:t xml:space="preserve">: </w:t>
      </w:r>
      <w:r w:rsidR="00842595" w:rsidRPr="00842595">
        <w:rPr>
          <w:b/>
          <w:color w:val="984806" w:themeColor="accent6" w:themeShade="80"/>
          <w:sz w:val="28"/>
          <w:szCs w:val="28"/>
        </w:rPr>
        <w:t>Куликов Алексей Александров</w:t>
      </w:r>
      <w:r w:rsidR="00842595" w:rsidRPr="00836E75">
        <w:rPr>
          <w:b/>
          <w:color w:val="984806" w:themeColor="accent6" w:themeShade="80"/>
          <w:sz w:val="26"/>
          <w:szCs w:val="26"/>
        </w:rPr>
        <w:t>ич</w:t>
      </w:r>
      <w:r w:rsidR="00842595" w:rsidRPr="00836E75">
        <w:rPr>
          <w:color w:val="244061" w:themeColor="accent1" w:themeShade="80"/>
          <w:sz w:val="26"/>
          <w:szCs w:val="26"/>
        </w:rPr>
        <w:t xml:space="preserve"> </w:t>
      </w:r>
      <w:r w:rsidR="00842595" w:rsidRPr="00842595">
        <w:rPr>
          <w:color w:val="17365D" w:themeColor="text2" w:themeShade="BF"/>
          <w:sz w:val="28"/>
          <w:szCs w:val="28"/>
        </w:rPr>
        <w:t>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14:paraId="06BDF92F" w14:textId="6CFB4ABA" w:rsidR="00E51A2E" w:rsidRPr="00C17367" w:rsidRDefault="00E51A2E" w:rsidP="00635A0B">
      <w:pPr>
        <w:shd w:val="clear" w:color="auto" w:fill="FFFFFF"/>
        <w:jc w:val="both"/>
        <w:rPr>
          <w:color w:val="17365D" w:themeColor="text2" w:themeShade="BF"/>
          <w:sz w:val="28"/>
          <w:szCs w:val="28"/>
        </w:rPr>
      </w:pPr>
    </w:p>
    <w:p w14:paraId="699F577C" w14:textId="77777777" w:rsidR="00635A0B" w:rsidRPr="00C17367" w:rsidRDefault="00635A0B" w:rsidP="00635A0B">
      <w:pPr>
        <w:jc w:val="both"/>
        <w:rPr>
          <w:color w:val="17365D" w:themeColor="text2" w:themeShade="BF"/>
          <w:sz w:val="28"/>
          <w:szCs w:val="28"/>
        </w:rPr>
      </w:pPr>
    </w:p>
    <w:p w14:paraId="1BB9CA54" w14:textId="77777777" w:rsidR="00635A0B" w:rsidRPr="00C17367" w:rsidRDefault="00635A0B" w:rsidP="00635A0B">
      <w:pPr>
        <w:pStyle w:val="aa"/>
        <w:spacing w:after="0" w:line="240" w:lineRule="auto"/>
        <w:ind w:hanging="720"/>
        <w:jc w:val="both"/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17367">
        <w:rPr>
          <w:rFonts w:eastAsia="Times New Roman" w:cs="Times New Roman"/>
          <w:b/>
          <w:color w:val="5F497A" w:themeColor="accent4" w:themeShade="BF"/>
          <w:sz w:val="28"/>
          <w:szCs w:val="28"/>
          <w:u w:val="single"/>
          <w:lang w:eastAsia="ru-RU"/>
        </w:rPr>
        <w:t>В программе семинара</w:t>
      </w:r>
      <w:r w:rsidRPr="00C17367"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  <w:t>:</w:t>
      </w:r>
    </w:p>
    <w:p w14:paraId="2483F49C" w14:textId="77777777" w:rsidR="00842595" w:rsidRPr="00842595" w:rsidRDefault="00842595" w:rsidP="00842595">
      <w:pPr>
        <w:rPr>
          <w:color w:val="17365D" w:themeColor="text2" w:themeShade="BF"/>
        </w:rPr>
      </w:pPr>
    </w:p>
    <w:p w14:paraId="754BCE2C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  <w:r w:rsidRPr="00842595">
        <w:rPr>
          <w:b/>
          <w:bCs/>
          <w:color w:val="17365D" w:themeColor="text2" w:themeShade="BF"/>
          <w:sz w:val="28"/>
        </w:rPr>
        <w:t>«</w:t>
      </w:r>
      <w:proofErr w:type="spellStart"/>
      <w:r w:rsidRPr="00842595">
        <w:rPr>
          <w:b/>
          <w:bCs/>
          <w:color w:val="17365D" w:themeColor="text2" w:themeShade="BF"/>
          <w:sz w:val="28"/>
        </w:rPr>
        <w:t>Контрзападные</w:t>
      </w:r>
      <w:proofErr w:type="spellEnd"/>
      <w:r w:rsidRPr="00842595">
        <w:rPr>
          <w:b/>
          <w:bCs/>
          <w:color w:val="17365D" w:themeColor="text2" w:themeShade="BF"/>
          <w:sz w:val="28"/>
        </w:rPr>
        <w:t>» поправки.</w:t>
      </w:r>
    </w:p>
    <w:p w14:paraId="3F09C2C7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</w:p>
    <w:p w14:paraId="78317574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ограничений на обращение иностранной валюты: обязательная продажа валюты экспортёрами, ограничения на вывоз иностранной валюты.</w:t>
      </w:r>
    </w:p>
    <w:p w14:paraId="1C73CC91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ограничений на проведение безналичных валютных операций.</w:t>
      </w:r>
    </w:p>
    <w:p w14:paraId="217BA008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мер поддержки для ИТ-компаний: освобождение от уплаты налога на прибыль, льготное кредитование, упрощение миграционных механизмов трудоустройства сотрудников, освобождение от государственного контроля (надзора).</w:t>
      </w:r>
    </w:p>
    <w:p w14:paraId="1EB72614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ограничений на операции с нерезидентами: выплата дивидендов в иностранные юрисдикции, запрет для нерезидентов на операции с российскими ценными бумагами.</w:t>
      </w:r>
    </w:p>
    <w:p w14:paraId="733C9891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послаблений в сфере корпоративных процедур: продление сроков на проведение общих собраний, в том числе в форме заочных собраний.</w:t>
      </w:r>
    </w:p>
    <w:p w14:paraId="76B5E191" w14:textId="77777777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Начало очередного этапа «амнистии капиталов».</w:t>
      </w:r>
    </w:p>
    <w:p w14:paraId="46F6B0F1" w14:textId="4918E3CE" w:rsidR="00842595" w:rsidRPr="00842595" w:rsidRDefault="00842595" w:rsidP="00842595">
      <w:pPr>
        <w:pStyle w:val="aa"/>
        <w:numPr>
          <w:ilvl w:val="0"/>
          <w:numId w:val="15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b/>
          <w:bCs/>
          <w:color w:val="17365D" w:themeColor="text2" w:themeShade="BF"/>
          <w:sz w:val="28"/>
          <w:szCs w:val="24"/>
        </w:rPr>
        <w:t>«Отмена» патентов, принадлежащих обладателям недружественных стран</w:t>
      </w:r>
      <w:r w:rsidRPr="00842595">
        <w:rPr>
          <w:color w:val="17365D" w:themeColor="text2" w:themeShade="BF"/>
          <w:sz w:val="28"/>
          <w:szCs w:val="24"/>
        </w:rPr>
        <w:t>.</w:t>
      </w:r>
    </w:p>
    <w:p w14:paraId="00EEF0FC" w14:textId="77777777" w:rsid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</w:p>
    <w:p w14:paraId="3C443C2B" w14:textId="20C520D4" w:rsid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  <w:r w:rsidRPr="00842595">
        <w:rPr>
          <w:b/>
          <w:bCs/>
          <w:color w:val="17365D" w:themeColor="text2" w:themeShade="BF"/>
          <w:sz w:val="28"/>
        </w:rPr>
        <w:t>Антикризисные меры для поддержки бизнеса.</w:t>
      </w:r>
    </w:p>
    <w:p w14:paraId="32FEA0DD" w14:textId="77777777" w:rsidR="004B7363" w:rsidRPr="00842595" w:rsidRDefault="004B7363" w:rsidP="00842595">
      <w:pPr>
        <w:jc w:val="center"/>
        <w:rPr>
          <w:b/>
          <w:bCs/>
          <w:color w:val="17365D" w:themeColor="text2" w:themeShade="BF"/>
          <w:sz w:val="28"/>
        </w:rPr>
      </w:pPr>
      <w:bookmarkStart w:id="0" w:name="_GoBack"/>
      <w:bookmarkEnd w:id="0"/>
    </w:p>
    <w:p w14:paraId="175C3332" w14:textId="0F66CAD5" w:rsidR="00842595" w:rsidRPr="00842595" w:rsidRDefault="00842595" w:rsidP="00842595">
      <w:pPr>
        <w:pStyle w:val="aa"/>
        <w:numPr>
          <w:ilvl w:val="0"/>
          <w:numId w:val="16"/>
        </w:numPr>
        <w:jc w:val="both"/>
        <w:rPr>
          <w:color w:val="17365D" w:themeColor="text2" w:themeShade="BF"/>
          <w:sz w:val="28"/>
        </w:rPr>
      </w:pPr>
      <w:r w:rsidRPr="00842595">
        <w:rPr>
          <w:color w:val="17365D" w:themeColor="text2" w:themeShade="BF"/>
          <w:sz w:val="28"/>
        </w:rPr>
        <w:t xml:space="preserve">Введение моратория на проведение проверочных мероприятий. Ограничение некоторых полномочий ФНС РФ. </w:t>
      </w:r>
      <w:r w:rsidRPr="00842595">
        <w:rPr>
          <w:b/>
          <w:bCs/>
          <w:color w:val="17365D" w:themeColor="text2" w:themeShade="BF"/>
          <w:sz w:val="28"/>
        </w:rPr>
        <w:t>Введение нового порядка возбуждения уголовных дел по «налоговым» статьям УК РФ</w:t>
      </w:r>
      <w:r w:rsidRPr="00842595">
        <w:rPr>
          <w:color w:val="17365D" w:themeColor="text2" w:themeShade="BF"/>
          <w:sz w:val="28"/>
        </w:rPr>
        <w:t>.</w:t>
      </w:r>
    </w:p>
    <w:p w14:paraId="4724BBDD" w14:textId="77777777" w:rsidR="00842595" w:rsidRPr="00842595" w:rsidRDefault="00842595" w:rsidP="00842595">
      <w:pPr>
        <w:pStyle w:val="aa"/>
        <w:numPr>
          <w:ilvl w:val="0"/>
          <w:numId w:val="16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lastRenderedPageBreak/>
        <w:t>Введение «кредитных каникул».</w:t>
      </w:r>
    </w:p>
    <w:p w14:paraId="6747D7B0" w14:textId="77777777" w:rsidR="00842595" w:rsidRPr="00842595" w:rsidRDefault="00842595" w:rsidP="00842595">
      <w:pPr>
        <w:pStyle w:val="aa"/>
        <w:numPr>
          <w:ilvl w:val="0"/>
          <w:numId w:val="16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Игнорирование показателя чистых активов.</w:t>
      </w:r>
    </w:p>
    <w:p w14:paraId="3DD2F0FC" w14:textId="77777777" w:rsidR="00842595" w:rsidRPr="00842595" w:rsidRDefault="00842595" w:rsidP="00842595">
      <w:pPr>
        <w:pStyle w:val="aa"/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</w:p>
    <w:p w14:paraId="4A2A62F0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57226F85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  <w:r w:rsidRPr="00842595">
        <w:rPr>
          <w:b/>
          <w:bCs/>
          <w:color w:val="17365D" w:themeColor="text2" w:themeShade="BF"/>
          <w:sz w:val="28"/>
        </w:rPr>
        <w:t>Введение с 2023 года нового способа уплаты налогов посредством единого налогового платежа.</w:t>
      </w:r>
    </w:p>
    <w:p w14:paraId="6073C2BF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</w:p>
    <w:p w14:paraId="5F1D3574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Изменение механизма взаимодействия налогоплательщиков и налоговых органов по вопросам уплаты налогов.</w:t>
      </w:r>
    </w:p>
    <w:p w14:paraId="7E9891CE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Изменение механизма исполнения обязанности налогового агента.</w:t>
      </w:r>
    </w:p>
    <w:p w14:paraId="3E1E96E7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 xml:space="preserve">Изменение механизма взыскания налогов и </w:t>
      </w:r>
      <w:proofErr w:type="gramStart"/>
      <w:r w:rsidRPr="00842595">
        <w:rPr>
          <w:color w:val="17365D" w:themeColor="text2" w:themeShade="BF"/>
          <w:sz w:val="28"/>
          <w:szCs w:val="24"/>
        </w:rPr>
        <w:t>принятия</w:t>
      </w:r>
      <w:proofErr w:type="gramEnd"/>
      <w:r w:rsidRPr="00842595">
        <w:rPr>
          <w:color w:val="17365D" w:themeColor="text2" w:themeShade="BF"/>
          <w:sz w:val="28"/>
          <w:szCs w:val="24"/>
        </w:rPr>
        <w:t xml:space="preserve"> обеспечительных мер.</w:t>
      </w:r>
    </w:p>
    <w:p w14:paraId="368FFA8E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Введение уведомлений о суммах начисленных налогов: порядок и сроки представления таковых.</w:t>
      </w:r>
    </w:p>
    <w:p w14:paraId="4C8BDCDF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Сложности в применении налоговых вычетов в виде сумм уплаченных налогов (НДФЛ, УСН).</w:t>
      </w:r>
    </w:p>
    <w:p w14:paraId="2CA53533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Изменение порядка и сроков представления налоговой отчётности;</w:t>
      </w:r>
    </w:p>
    <w:p w14:paraId="58F6A55D" w14:textId="77777777" w:rsidR="00842595" w:rsidRPr="00842595" w:rsidRDefault="00842595" w:rsidP="00842595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Целесообразность проведения налогоплательщиком сверки с налоговым органом по итогам года.</w:t>
      </w:r>
    </w:p>
    <w:p w14:paraId="0932D7B3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7E89AB9D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  <w:r w:rsidRPr="00842595">
        <w:rPr>
          <w:b/>
          <w:bCs/>
          <w:color w:val="17365D" w:themeColor="text2" w:themeShade="BF"/>
          <w:sz w:val="28"/>
        </w:rPr>
        <w:t>Практика проведения налоговыми органами зачётов:</w:t>
      </w:r>
    </w:p>
    <w:p w14:paraId="0289B215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  <w:r w:rsidRPr="00842595">
        <w:rPr>
          <w:b/>
          <w:bCs/>
          <w:color w:val="17365D" w:themeColor="text2" w:themeShade="BF"/>
          <w:sz w:val="28"/>
        </w:rPr>
        <w:t>проблемы уплаты авансовых платежей.</w:t>
      </w:r>
    </w:p>
    <w:p w14:paraId="5402F300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28"/>
        </w:rPr>
      </w:pPr>
    </w:p>
    <w:p w14:paraId="77816F78" w14:textId="77777777" w:rsidR="00842595" w:rsidRPr="00842595" w:rsidRDefault="00842595" w:rsidP="00842595">
      <w:pPr>
        <w:pStyle w:val="aa"/>
        <w:numPr>
          <w:ilvl w:val="0"/>
          <w:numId w:val="18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Зачёт и возврат налогов при расторжении договора или при переквалификации сделок со стороны налогового органа.</w:t>
      </w:r>
    </w:p>
    <w:p w14:paraId="3B9E565E" w14:textId="77777777" w:rsidR="00842595" w:rsidRPr="00842595" w:rsidRDefault="00842595" w:rsidP="00842595">
      <w:pPr>
        <w:pStyle w:val="aa"/>
        <w:numPr>
          <w:ilvl w:val="0"/>
          <w:numId w:val="18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Истребование документов налоговыми органами: признание таковых необоснованными (судебная практика); проведение иных мероприятий налогового контроля.</w:t>
      </w:r>
    </w:p>
    <w:p w14:paraId="29CB3064" w14:textId="53920613" w:rsidR="00842595" w:rsidRDefault="00842595" w:rsidP="00842595">
      <w:pPr>
        <w:pStyle w:val="aa"/>
        <w:numPr>
          <w:ilvl w:val="0"/>
          <w:numId w:val="18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Практика статьи 54.1 НК РФ: раскрытие реальных поставщиков как основание для учёта «входящих» операций; наличие потерь бюджета как основание для привлечения к ответственности налогоплательщика.</w:t>
      </w:r>
    </w:p>
    <w:p w14:paraId="23FFF37A" w14:textId="77777777" w:rsidR="00842595" w:rsidRPr="00842595" w:rsidRDefault="00842595" w:rsidP="00842595">
      <w:pPr>
        <w:pStyle w:val="aa"/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</w:p>
    <w:p w14:paraId="730C2DF6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32"/>
          <w:szCs w:val="28"/>
        </w:rPr>
      </w:pPr>
      <w:r w:rsidRPr="00842595">
        <w:rPr>
          <w:b/>
          <w:bCs/>
          <w:color w:val="17365D" w:themeColor="text2" w:themeShade="BF"/>
          <w:sz w:val="32"/>
          <w:szCs w:val="28"/>
        </w:rPr>
        <w:t>НДС.</w:t>
      </w:r>
    </w:p>
    <w:p w14:paraId="354C3B11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4882C907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 xml:space="preserve">Отдельные вопросы признания объекта обложения НДС: недостача, бездоговорное потребление, неосновательное обогащение, </w:t>
      </w:r>
      <w:proofErr w:type="spellStart"/>
      <w:r w:rsidRPr="00842595">
        <w:rPr>
          <w:color w:val="17365D" w:themeColor="text2" w:themeShade="BF"/>
          <w:sz w:val="28"/>
          <w:szCs w:val="24"/>
        </w:rPr>
        <w:t>неденежные</w:t>
      </w:r>
      <w:proofErr w:type="spellEnd"/>
      <w:r w:rsidRPr="00842595">
        <w:rPr>
          <w:color w:val="17365D" w:themeColor="text2" w:themeShade="BF"/>
          <w:sz w:val="28"/>
          <w:szCs w:val="24"/>
        </w:rPr>
        <w:t xml:space="preserve"> займы.</w:t>
      </w:r>
    </w:p>
    <w:p w14:paraId="5C66E0D1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Безвозмездные сделки – объект обложения НДС.</w:t>
      </w:r>
    </w:p>
    <w:p w14:paraId="71CB9281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 xml:space="preserve">Формирование налоговой базы при использовании нетрадиционных условий сделок: </w:t>
      </w:r>
      <w:proofErr w:type="spellStart"/>
      <w:r w:rsidRPr="00842595">
        <w:rPr>
          <w:color w:val="17365D" w:themeColor="text2" w:themeShade="BF"/>
          <w:sz w:val="28"/>
          <w:szCs w:val="24"/>
        </w:rPr>
        <w:t>эскроу</w:t>
      </w:r>
      <w:proofErr w:type="spellEnd"/>
      <w:r w:rsidRPr="00842595">
        <w:rPr>
          <w:color w:val="17365D" w:themeColor="text2" w:themeShade="BF"/>
          <w:sz w:val="28"/>
          <w:szCs w:val="24"/>
        </w:rPr>
        <w:t>-счета, особые условия перехода права собственности, скидки (бонусы), привязка первичных документов к данным различных ЕГАИС.</w:t>
      </w:r>
    </w:p>
    <w:p w14:paraId="29C0643D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Изменение налоговой базы по Н</w:t>
      </w:r>
      <w:proofErr w:type="gramStart"/>
      <w:r w:rsidRPr="00842595">
        <w:rPr>
          <w:color w:val="17365D" w:themeColor="text2" w:themeShade="BF"/>
          <w:sz w:val="28"/>
          <w:szCs w:val="24"/>
        </w:rPr>
        <w:t>ДС всл</w:t>
      </w:r>
      <w:proofErr w:type="gramEnd"/>
      <w:r w:rsidRPr="00842595">
        <w:rPr>
          <w:color w:val="17365D" w:themeColor="text2" w:themeShade="BF"/>
          <w:sz w:val="28"/>
          <w:szCs w:val="24"/>
        </w:rPr>
        <w:t>едствие изменения предмета или условий договора (например, новация, передача договора).</w:t>
      </w:r>
    </w:p>
    <w:p w14:paraId="54D237EC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Отдельные вопросы применения надлежащих ставок НДС. Условия договора как основание для применения ставки 0% при экспорте.</w:t>
      </w:r>
    </w:p>
    <w:p w14:paraId="1FB848AE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Документальное обоснование применения налоговых вычетов.</w:t>
      </w:r>
    </w:p>
    <w:p w14:paraId="7BC8FCEB" w14:textId="77777777" w:rsidR="00842595" w:rsidRPr="00842595" w:rsidRDefault="00842595" w:rsidP="00842595">
      <w:pPr>
        <w:pStyle w:val="aa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 xml:space="preserve">Проблемы исчисления суммы НДС, подлежащей восстановлению исходя из остаточной стоимости, из-за ошибок в её определении. Порядок восстановления покупателем «входящего» НДС с уплаченных авансов: определение момента </w:t>
      </w:r>
      <w:r w:rsidRPr="00842595">
        <w:rPr>
          <w:color w:val="17365D" w:themeColor="text2" w:themeShade="BF"/>
          <w:sz w:val="28"/>
          <w:szCs w:val="24"/>
        </w:rPr>
        <w:lastRenderedPageBreak/>
        <w:t>отгрузки продавцом и принятия к учёту покупателем (взаимосвязь с ФСБУ 27/2021).</w:t>
      </w:r>
    </w:p>
    <w:p w14:paraId="689BCF09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3C627C4A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2946EB91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32"/>
          <w:szCs w:val="28"/>
        </w:rPr>
      </w:pPr>
      <w:r w:rsidRPr="00842595">
        <w:rPr>
          <w:b/>
          <w:bCs/>
          <w:color w:val="17365D" w:themeColor="text2" w:themeShade="BF"/>
          <w:sz w:val="32"/>
          <w:szCs w:val="28"/>
        </w:rPr>
        <w:t>Налог на прибыль.</w:t>
      </w:r>
    </w:p>
    <w:p w14:paraId="20C7D47F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2D2FD62B" w14:textId="77777777" w:rsidR="00842595" w:rsidRPr="00842595" w:rsidRDefault="00842595" w:rsidP="00842595">
      <w:pPr>
        <w:pStyle w:val="aa"/>
        <w:numPr>
          <w:ilvl w:val="0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Признание отдельных видов доходов: просроченная кредиторская задолженность, прощение долга, безвозмездное пользование.</w:t>
      </w:r>
    </w:p>
    <w:p w14:paraId="1F37F4C8" w14:textId="77777777" w:rsidR="00842595" w:rsidRPr="00842595" w:rsidRDefault="00842595" w:rsidP="00842595">
      <w:pPr>
        <w:pStyle w:val="aa"/>
        <w:numPr>
          <w:ilvl w:val="0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Документальное оформление расходов: электронные документы, чеки ККТ, экономическая обоснованность расходов.</w:t>
      </w:r>
    </w:p>
    <w:p w14:paraId="40B6693C" w14:textId="77777777" w:rsidR="00842595" w:rsidRPr="00842595" w:rsidRDefault="00842595" w:rsidP="00842595">
      <w:pPr>
        <w:pStyle w:val="aa"/>
        <w:numPr>
          <w:ilvl w:val="0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Признание отдельных видов расходов:</w:t>
      </w:r>
    </w:p>
    <w:p w14:paraId="30EFEEB3" w14:textId="77777777" w:rsidR="00842595" w:rsidRPr="00842595" w:rsidRDefault="00842595" w:rsidP="00842595">
      <w:pPr>
        <w:pStyle w:val="aa"/>
        <w:numPr>
          <w:ilvl w:val="1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материальные расходы, в том числе списание производственного инструмента, обоснование естественной убыли;</w:t>
      </w:r>
    </w:p>
    <w:p w14:paraId="7FA522F0" w14:textId="77777777" w:rsidR="00842595" w:rsidRPr="00842595" w:rsidRDefault="00842595" w:rsidP="00842595">
      <w:pPr>
        <w:pStyle w:val="aa"/>
        <w:numPr>
          <w:ilvl w:val="1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расходы по оплате труда: добровольное страхование работников, компенсационные выплаты;</w:t>
      </w:r>
    </w:p>
    <w:p w14:paraId="7D3A5030" w14:textId="77777777" w:rsidR="00842595" w:rsidRPr="00842595" w:rsidRDefault="00842595" w:rsidP="00842595">
      <w:pPr>
        <w:pStyle w:val="aa"/>
        <w:numPr>
          <w:ilvl w:val="1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списание стоимости основных средств, расходов по улучшению арендованного имущества, расходы по ремонту основных средств;</w:t>
      </w:r>
    </w:p>
    <w:p w14:paraId="41233D25" w14:textId="77777777" w:rsidR="00842595" w:rsidRPr="00842595" w:rsidRDefault="00842595" w:rsidP="00842595">
      <w:pPr>
        <w:pStyle w:val="aa"/>
        <w:numPr>
          <w:ilvl w:val="1"/>
          <w:numId w:val="20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 xml:space="preserve">прочие расходы: лизинговые платежи, просроченная дебиторская задолженность, списание </w:t>
      </w:r>
      <w:proofErr w:type="gramStart"/>
      <w:r w:rsidRPr="00842595">
        <w:rPr>
          <w:color w:val="17365D" w:themeColor="text2" w:themeShade="BF"/>
          <w:sz w:val="28"/>
          <w:szCs w:val="24"/>
        </w:rPr>
        <w:t>неликвидных</w:t>
      </w:r>
      <w:proofErr w:type="gramEnd"/>
      <w:r w:rsidRPr="00842595">
        <w:rPr>
          <w:color w:val="17365D" w:themeColor="text2" w:themeShade="BF"/>
          <w:sz w:val="28"/>
          <w:szCs w:val="24"/>
        </w:rPr>
        <w:t xml:space="preserve"> ТМЦ, расходы на приобретение опциона.</w:t>
      </w:r>
    </w:p>
    <w:p w14:paraId="7FED8A15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56D73912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19B541AE" w14:textId="77777777" w:rsidR="00842595" w:rsidRPr="00842595" w:rsidRDefault="00842595" w:rsidP="00842595">
      <w:pPr>
        <w:jc w:val="center"/>
        <w:rPr>
          <w:b/>
          <w:bCs/>
          <w:color w:val="17365D" w:themeColor="text2" w:themeShade="BF"/>
          <w:sz w:val="32"/>
          <w:szCs w:val="28"/>
        </w:rPr>
      </w:pPr>
      <w:r w:rsidRPr="00842595">
        <w:rPr>
          <w:b/>
          <w:bCs/>
          <w:color w:val="17365D" w:themeColor="text2" w:themeShade="BF"/>
          <w:sz w:val="32"/>
          <w:szCs w:val="28"/>
        </w:rPr>
        <w:t>Зарплатные налоги и НДФЛ.</w:t>
      </w:r>
    </w:p>
    <w:p w14:paraId="59A57764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3BE22699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Практика применения пониженных тарифов: СМП, ИТ-организации.</w:t>
      </w:r>
    </w:p>
    <w:p w14:paraId="6DEF8B4E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Формирование базы по страховым взносам: оплата проезда на работу, оплата проживания, оплата обучения работников и их детей.</w:t>
      </w:r>
    </w:p>
    <w:p w14:paraId="19C0135E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Переквалификация отношений с физическими лицами в трудовые договоры (в частности, ученического договора).</w:t>
      </w:r>
    </w:p>
    <w:p w14:paraId="78B3C381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Освобождение от обложения компенсационных выплат и доказывание их характера.</w:t>
      </w:r>
    </w:p>
    <w:p w14:paraId="23601B35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Представление уточнённых расчётов при увольнении работников и их восстановлении на работе (страховые выплаты и НДФЛ).</w:t>
      </w:r>
    </w:p>
    <w:p w14:paraId="39009719" w14:textId="77777777" w:rsidR="00842595" w:rsidRPr="00842595" w:rsidRDefault="00842595" w:rsidP="00842595">
      <w:pPr>
        <w:pStyle w:val="aa"/>
        <w:numPr>
          <w:ilvl w:val="0"/>
          <w:numId w:val="21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b/>
          <w:bCs/>
          <w:color w:val="17365D" w:themeColor="text2" w:themeShade="BF"/>
          <w:sz w:val="28"/>
          <w:szCs w:val="24"/>
        </w:rPr>
        <w:t>Изменение с 2023 года даты признания в качестве дохода заработной платы и необходимость формирования новых регистров налогового учёта.</w:t>
      </w:r>
    </w:p>
    <w:p w14:paraId="66B16190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3DF8B617" w14:textId="77777777" w:rsidR="00842595" w:rsidRPr="00842595" w:rsidRDefault="00842595" w:rsidP="00842595">
      <w:pPr>
        <w:rPr>
          <w:rFonts w:eastAsiaTheme="minorHAnsi" w:cstheme="minorBidi"/>
          <w:b/>
          <w:bCs/>
          <w:color w:val="17365D" w:themeColor="text2" w:themeShade="BF"/>
          <w:sz w:val="28"/>
          <w:szCs w:val="26"/>
          <w:lang w:eastAsia="en-US"/>
        </w:rPr>
      </w:pPr>
    </w:p>
    <w:p w14:paraId="096E75F6" w14:textId="77777777" w:rsidR="00842595" w:rsidRPr="00842595" w:rsidRDefault="00842595" w:rsidP="00842595">
      <w:pPr>
        <w:jc w:val="center"/>
        <w:rPr>
          <w:rFonts w:eastAsiaTheme="minorHAnsi" w:cstheme="minorBidi"/>
          <w:b/>
          <w:bCs/>
          <w:color w:val="17365D" w:themeColor="text2" w:themeShade="BF"/>
          <w:sz w:val="28"/>
          <w:szCs w:val="26"/>
          <w:lang w:eastAsia="en-US"/>
        </w:rPr>
      </w:pPr>
      <w:r w:rsidRPr="00842595">
        <w:rPr>
          <w:rFonts w:eastAsiaTheme="minorHAnsi" w:cstheme="minorBidi"/>
          <w:b/>
          <w:bCs/>
          <w:color w:val="17365D" w:themeColor="text2" w:themeShade="BF"/>
          <w:sz w:val="28"/>
          <w:szCs w:val="26"/>
          <w:lang w:eastAsia="en-US"/>
        </w:rPr>
        <w:t>Имущественные налоги.</w:t>
      </w:r>
    </w:p>
    <w:p w14:paraId="6DB01D87" w14:textId="77777777" w:rsidR="00842595" w:rsidRPr="00842595" w:rsidRDefault="00842595" w:rsidP="00842595">
      <w:pPr>
        <w:rPr>
          <w:color w:val="17365D" w:themeColor="text2" w:themeShade="BF"/>
          <w:sz w:val="28"/>
        </w:rPr>
      </w:pPr>
    </w:p>
    <w:p w14:paraId="1869C8F8" w14:textId="77777777" w:rsidR="00842595" w:rsidRPr="00842595" w:rsidRDefault="00842595" w:rsidP="00842595">
      <w:pPr>
        <w:pStyle w:val="aa"/>
        <w:numPr>
          <w:ilvl w:val="0"/>
          <w:numId w:val="22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Обновлённый на 2022 год перечень «дорогих» автомобилей.</w:t>
      </w:r>
    </w:p>
    <w:p w14:paraId="2D4F8E90" w14:textId="77777777" w:rsidR="00842595" w:rsidRPr="00842595" w:rsidRDefault="00842595" w:rsidP="00842595">
      <w:pPr>
        <w:pStyle w:val="aa"/>
        <w:numPr>
          <w:ilvl w:val="0"/>
          <w:numId w:val="22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Последние разъяснения Минфина России по налогу на имущество: соотношение балансовой и остаточной стоимости, квалификация активов в качестве недвижимости и (или) основных средств.</w:t>
      </w:r>
    </w:p>
    <w:p w14:paraId="601CF431" w14:textId="77777777" w:rsidR="00842595" w:rsidRPr="00842595" w:rsidRDefault="00842595" w:rsidP="00842595">
      <w:pPr>
        <w:pStyle w:val="aa"/>
        <w:numPr>
          <w:ilvl w:val="0"/>
          <w:numId w:val="22"/>
        </w:numPr>
        <w:spacing w:after="0" w:line="240" w:lineRule="auto"/>
        <w:jc w:val="both"/>
        <w:rPr>
          <w:color w:val="17365D" w:themeColor="text2" w:themeShade="BF"/>
          <w:sz w:val="28"/>
          <w:szCs w:val="24"/>
        </w:rPr>
      </w:pPr>
      <w:r w:rsidRPr="00842595">
        <w:rPr>
          <w:color w:val="17365D" w:themeColor="text2" w:themeShade="BF"/>
          <w:sz w:val="28"/>
          <w:szCs w:val="24"/>
        </w:rPr>
        <w:t>Обновлённый в Санкт-Петербурге перечень объектов, в отношении которых налог на имущество уплачивается исходя из кадастровой стоимости.</w:t>
      </w:r>
    </w:p>
    <w:p w14:paraId="01D45B48" w14:textId="77777777" w:rsidR="001076DC" w:rsidRDefault="001076DC" w:rsidP="005F5293">
      <w:pPr>
        <w:pStyle w:val="a3"/>
        <w:rPr>
          <w:rFonts w:cstheme="minorBidi"/>
          <w:b/>
          <w:bCs/>
          <w:color w:val="17365D" w:themeColor="text2" w:themeShade="BF"/>
          <w:sz w:val="26"/>
          <w:szCs w:val="26"/>
        </w:rPr>
      </w:pPr>
    </w:p>
    <w:p w14:paraId="11E4AF99" w14:textId="3DDF2DB3" w:rsidR="00263855" w:rsidRPr="00523FA4" w:rsidRDefault="005F5293" w:rsidP="00842595">
      <w:pPr>
        <w:pStyle w:val="a3"/>
        <w:ind w:left="1407" w:firstLine="0"/>
        <w:jc w:val="center"/>
        <w:rPr>
          <w:rFonts w:cstheme="minorBidi"/>
          <w:b/>
          <w:bCs/>
          <w:color w:val="17365D" w:themeColor="text2" w:themeShade="BF"/>
          <w:sz w:val="26"/>
          <w:szCs w:val="26"/>
        </w:rPr>
      </w:pPr>
      <w:r w:rsidRPr="005F5293">
        <w:rPr>
          <w:rFonts w:cstheme="minorBidi"/>
          <w:b/>
          <w:bCs/>
          <w:color w:val="17365D" w:themeColor="text2" w:themeShade="BF"/>
          <w:sz w:val="26"/>
          <w:szCs w:val="26"/>
        </w:rPr>
        <w:t>Ответы на вопросы и практические рекомендации.</w:t>
      </w:r>
    </w:p>
    <w:p w14:paraId="613D8980" w14:textId="77777777" w:rsidR="00635A0B" w:rsidRPr="00523FA4" w:rsidRDefault="00635A0B" w:rsidP="0020276A">
      <w:pPr>
        <w:pStyle w:val="a3"/>
        <w:rPr>
          <w:b/>
          <w:sz w:val="26"/>
          <w:szCs w:val="26"/>
        </w:rPr>
      </w:pPr>
    </w:p>
    <w:p w14:paraId="43697ADD" w14:textId="6F2A5B1F" w:rsidR="00E51A2E" w:rsidRPr="00907B75" w:rsidRDefault="00E51A2E" w:rsidP="005F5293">
      <w:pPr>
        <w:jc w:val="both"/>
        <w:rPr>
          <w:b/>
          <w:color w:val="17365D" w:themeColor="text2" w:themeShade="BF"/>
        </w:rPr>
      </w:pPr>
      <w:r w:rsidRPr="00DC7A5E">
        <w:rPr>
          <w:i/>
          <w:color w:val="17365D" w:themeColor="text2" w:themeShade="BF"/>
          <w:sz w:val="20"/>
          <w:szCs w:val="20"/>
        </w:rPr>
        <w:t>*</w:t>
      </w:r>
      <w:r w:rsidR="005F5293" w:rsidRPr="005F5293">
        <w:rPr>
          <w:i/>
          <w:color w:val="17365D" w:themeColor="text2" w:themeShade="BF"/>
          <w:sz w:val="20"/>
          <w:szCs w:val="20"/>
        </w:rPr>
        <w:t xml:space="preserve">Программа будет дополнена в случае принятия ко дню проведения семинара законов, вносящих изменения и дополнения </w:t>
      </w:r>
      <w:r w:rsidR="00842595">
        <w:rPr>
          <w:i/>
          <w:color w:val="17365D" w:themeColor="text2" w:themeShade="BF"/>
          <w:sz w:val="20"/>
          <w:szCs w:val="20"/>
        </w:rPr>
        <w:t xml:space="preserve">в </w:t>
      </w:r>
      <w:r w:rsidR="005F5293" w:rsidRPr="005F5293">
        <w:rPr>
          <w:i/>
          <w:color w:val="17365D" w:themeColor="text2" w:themeShade="BF"/>
          <w:sz w:val="20"/>
          <w:szCs w:val="20"/>
        </w:rPr>
        <w:t>законодательны</w:t>
      </w:r>
      <w:r w:rsidR="00842595">
        <w:rPr>
          <w:i/>
          <w:color w:val="17365D" w:themeColor="text2" w:themeShade="BF"/>
          <w:sz w:val="20"/>
          <w:szCs w:val="20"/>
        </w:rPr>
        <w:t>е</w:t>
      </w:r>
      <w:r w:rsidR="005F5293" w:rsidRPr="005F5293">
        <w:rPr>
          <w:i/>
          <w:color w:val="17365D" w:themeColor="text2" w:themeShade="BF"/>
          <w:sz w:val="20"/>
          <w:szCs w:val="20"/>
        </w:rPr>
        <w:t xml:space="preserve"> акт</w:t>
      </w:r>
      <w:r w:rsidR="00842595">
        <w:rPr>
          <w:i/>
          <w:color w:val="17365D" w:themeColor="text2" w:themeShade="BF"/>
          <w:sz w:val="20"/>
          <w:szCs w:val="20"/>
        </w:rPr>
        <w:t>ы</w:t>
      </w:r>
      <w:r w:rsidR="005F5293" w:rsidRPr="005F5293">
        <w:rPr>
          <w:i/>
          <w:color w:val="17365D" w:themeColor="text2" w:themeShade="BF"/>
          <w:sz w:val="20"/>
          <w:szCs w:val="20"/>
        </w:rPr>
        <w:t>, имеющи</w:t>
      </w:r>
      <w:r w:rsidR="00842595">
        <w:rPr>
          <w:i/>
          <w:color w:val="17365D" w:themeColor="text2" w:themeShade="BF"/>
          <w:sz w:val="20"/>
          <w:szCs w:val="20"/>
        </w:rPr>
        <w:t>е</w:t>
      </w:r>
      <w:r w:rsidR="005F5293" w:rsidRPr="005F5293">
        <w:rPr>
          <w:i/>
          <w:color w:val="17365D" w:themeColor="text2" w:themeShade="BF"/>
          <w:sz w:val="20"/>
          <w:szCs w:val="20"/>
        </w:rPr>
        <w:t xml:space="preserve"> отношение </w:t>
      </w:r>
      <w:r w:rsidR="00842595">
        <w:rPr>
          <w:i/>
          <w:color w:val="17365D" w:themeColor="text2" w:themeShade="BF"/>
          <w:sz w:val="20"/>
          <w:szCs w:val="20"/>
        </w:rPr>
        <w:t>к заявленной теме.</w:t>
      </w:r>
      <w:r w:rsidR="005F5293">
        <w:rPr>
          <w:b/>
          <w:color w:val="17365D" w:themeColor="text2" w:themeShade="BF"/>
        </w:rPr>
        <w:tab/>
      </w:r>
    </w:p>
    <w:p w14:paraId="409B40FC" w14:textId="77777777" w:rsidR="00E51A2E" w:rsidRPr="00DB24FA" w:rsidRDefault="00E51A2E" w:rsidP="00E51A2E">
      <w:pPr>
        <w:jc w:val="center"/>
        <w:rPr>
          <w:b/>
          <w:color w:val="000000" w:themeColor="text1"/>
        </w:rPr>
      </w:pPr>
    </w:p>
    <w:p w14:paraId="1F18CF14" w14:textId="77777777" w:rsidR="00E51A2E" w:rsidRPr="00907B75" w:rsidRDefault="00E51A2E" w:rsidP="00E51A2E">
      <w:pPr>
        <w:jc w:val="center"/>
        <w:rPr>
          <w:b/>
          <w:color w:val="5F497A" w:themeColor="accent4" w:themeShade="BF"/>
          <w:sz w:val="28"/>
          <w:szCs w:val="28"/>
        </w:rPr>
      </w:pPr>
      <w:r w:rsidRPr="00907B75">
        <w:rPr>
          <w:b/>
          <w:color w:val="5F497A" w:themeColor="accent4" w:themeShade="BF"/>
          <w:sz w:val="28"/>
          <w:szCs w:val="28"/>
          <w:u w:val="single"/>
        </w:rPr>
        <w:t xml:space="preserve">Стоимость участия </w:t>
      </w:r>
    </w:p>
    <w:p w14:paraId="15CCE957" w14:textId="77777777" w:rsidR="00E51A2E" w:rsidRPr="00597443" w:rsidRDefault="00E51A2E" w:rsidP="00E51A2E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501"/>
      </w:tblGrid>
      <w:tr w:rsidR="00E51A2E" w:rsidRPr="00597443" w14:paraId="3893321F" w14:textId="77777777" w:rsidTr="00A82D92">
        <w:trPr>
          <w:trHeight w:val="212"/>
        </w:trPr>
        <w:tc>
          <w:tcPr>
            <w:tcW w:w="6097" w:type="dxa"/>
            <w:vAlign w:val="center"/>
          </w:tcPr>
          <w:p w14:paraId="7120757C" w14:textId="77777777" w:rsidR="00E51A2E" w:rsidRPr="00DC7A5E" w:rsidRDefault="00E51A2E" w:rsidP="007E3A0A">
            <w:pPr>
              <w:ind w:left="426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>за одного слушателя от организации</w:t>
            </w:r>
          </w:p>
        </w:tc>
        <w:tc>
          <w:tcPr>
            <w:tcW w:w="4393" w:type="dxa"/>
            <w:gridSpan w:val="2"/>
          </w:tcPr>
          <w:p w14:paraId="05480FCF" w14:textId="4121CBAF" w:rsidR="00E51A2E" w:rsidRPr="00DC7A5E" w:rsidRDefault="00FF640D" w:rsidP="007A144E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DC7A5E">
              <w:rPr>
                <w:b/>
                <w:color w:val="0F243E" w:themeColor="text2" w:themeShade="80"/>
                <w:sz w:val="22"/>
                <w:szCs w:val="22"/>
                <w:lang w:val="en-US"/>
              </w:rPr>
              <w:t>5</w:t>
            </w:r>
            <w:r w:rsidR="007A144E" w:rsidRPr="00DC7A5E">
              <w:rPr>
                <w:b/>
                <w:color w:val="0F243E" w:themeColor="text2" w:themeShade="80"/>
                <w:sz w:val="22"/>
                <w:szCs w:val="22"/>
              </w:rPr>
              <w:t>2</w:t>
            </w:r>
            <w:r w:rsidR="00263855" w:rsidRPr="00DC7A5E">
              <w:rPr>
                <w:b/>
                <w:color w:val="0F243E" w:themeColor="text2" w:themeShade="80"/>
                <w:sz w:val="22"/>
                <w:szCs w:val="22"/>
              </w:rPr>
              <w:t>0</w:t>
            </w:r>
            <w:r w:rsidRPr="00DC7A5E">
              <w:rPr>
                <w:b/>
                <w:color w:val="0F243E" w:themeColor="text2" w:themeShade="80"/>
                <w:sz w:val="22"/>
                <w:szCs w:val="22"/>
                <w:lang w:val="en-US"/>
              </w:rPr>
              <w:t xml:space="preserve">0 </w:t>
            </w:r>
            <w:r w:rsidR="00E51A2E" w:rsidRPr="00DC7A5E">
              <w:rPr>
                <w:b/>
                <w:color w:val="0F243E" w:themeColor="text2" w:themeShade="80"/>
                <w:sz w:val="22"/>
                <w:szCs w:val="22"/>
              </w:rPr>
              <w:t>руб.</w:t>
            </w:r>
          </w:p>
        </w:tc>
      </w:tr>
      <w:tr w:rsidR="00E51A2E" w:rsidRPr="00597443" w14:paraId="22662F6C" w14:textId="77777777" w:rsidTr="00A82D92">
        <w:trPr>
          <w:trHeight w:val="307"/>
        </w:trPr>
        <w:tc>
          <w:tcPr>
            <w:tcW w:w="6097" w:type="dxa"/>
            <w:vAlign w:val="center"/>
          </w:tcPr>
          <w:p w14:paraId="01F69267" w14:textId="77777777" w:rsidR="00E51A2E" w:rsidRPr="00DC7A5E" w:rsidRDefault="00E51A2E" w:rsidP="007E3A0A">
            <w:pPr>
              <w:ind w:left="426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>за двоих слушателей от организации</w:t>
            </w:r>
          </w:p>
        </w:tc>
        <w:tc>
          <w:tcPr>
            <w:tcW w:w="4393" w:type="dxa"/>
            <w:gridSpan w:val="2"/>
          </w:tcPr>
          <w:p w14:paraId="6B5B234D" w14:textId="04790807" w:rsidR="00E51A2E" w:rsidRPr="00DC7A5E" w:rsidRDefault="00E51A2E" w:rsidP="00A82D92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DC7A5E">
              <w:rPr>
                <w:b/>
                <w:color w:val="0F243E" w:themeColor="text2" w:themeShade="80"/>
                <w:sz w:val="22"/>
                <w:szCs w:val="22"/>
              </w:rPr>
              <w:t>7</w:t>
            </w:r>
            <w:r w:rsidR="00A82D92">
              <w:rPr>
                <w:b/>
                <w:color w:val="0F243E" w:themeColor="text2" w:themeShade="80"/>
                <w:sz w:val="22"/>
                <w:szCs w:val="22"/>
              </w:rPr>
              <w:t>9</w:t>
            </w:r>
            <w:r w:rsidR="00FF640D" w:rsidRPr="00A82D92">
              <w:rPr>
                <w:b/>
                <w:color w:val="0F243E" w:themeColor="text2" w:themeShade="80"/>
                <w:sz w:val="22"/>
                <w:szCs w:val="22"/>
              </w:rPr>
              <w:t>00</w:t>
            </w:r>
            <w:r w:rsidRPr="00DC7A5E">
              <w:rPr>
                <w:b/>
                <w:color w:val="0F243E" w:themeColor="text2" w:themeShade="80"/>
                <w:sz w:val="22"/>
                <w:szCs w:val="22"/>
              </w:rPr>
              <w:t xml:space="preserve"> руб. (</w:t>
            </w:r>
            <w:r w:rsidR="00A82D92">
              <w:rPr>
                <w:b/>
                <w:color w:val="0F243E" w:themeColor="text2" w:themeShade="80"/>
                <w:sz w:val="22"/>
                <w:szCs w:val="22"/>
              </w:rPr>
              <w:t>с обедом на всех слушателей)</w:t>
            </w:r>
          </w:p>
        </w:tc>
      </w:tr>
      <w:tr w:rsidR="00E51A2E" w:rsidRPr="00597443" w14:paraId="583FCFBF" w14:textId="77777777" w:rsidTr="00A82D92">
        <w:trPr>
          <w:trHeight w:val="307"/>
        </w:trPr>
        <w:tc>
          <w:tcPr>
            <w:tcW w:w="6097" w:type="dxa"/>
            <w:vAlign w:val="center"/>
          </w:tcPr>
          <w:p w14:paraId="453602BF" w14:textId="77777777" w:rsidR="00E51A2E" w:rsidRPr="00DC7A5E" w:rsidRDefault="00E51A2E" w:rsidP="007E3A0A">
            <w:pPr>
              <w:ind w:left="426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>за троих и более слушателей от организации</w:t>
            </w:r>
          </w:p>
        </w:tc>
        <w:tc>
          <w:tcPr>
            <w:tcW w:w="4393" w:type="dxa"/>
            <w:gridSpan w:val="2"/>
          </w:tcPr>
          <w:p w14:paraId="44144249" w14:textId="7C9816F4" w:rsidR="00E51A2E" w:rsidRPr="00DC7A5E" w:rsidRDefault="00A82D92" w:rsidP="007A144E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color w:val="0F243E" w:themeColor="text2" w:themeShade="80"/>
                <w:sz w:val="22"/>
                <w:szCs w:val="22"/>
              </w:rPr>
              <w:t>92</w:t>
            </w:r>
            <w:r w:rsidR="00FF640D" w:rsidRPr="00A82D92">
              <w:rPr>
                <w:b/>
                <w:color w:val="0F243E" w:themeColor="text2" w:themeShade="80"/>
                <w:sz w:val="22"/>
                <w:szCs w:val="22"/>
              </w:rPr>
              <w:t>00</w:t>
            </w:r>
            <w:r w:rsidR="00E51A2E" w:rsidRPr="00DC7A5E">
              <w:rPr>
                <w:b/>
                <w:color w:val="0F243E" w:themeColor="text2" w:themeShade="80"/>
                <w:sz w:val="22"/>
                <w:szCs w:val="22"/>
              </w:rPr>
              <w:t xml:space="preserve"> руб. </w:t>
            </w:r>
            <w:r w:rsidRPr="00A82D92">
              <w:rPr>
                <w:b/>
                <w:color w:val="0F243E" w:themeColor="text2" w:themeShade="80"/>
                <w:sz w:val="22"/>
                <w:szCs w:val="22"/>
              </w:rPr>
              <w:t>(с обедом на всех слушателей)</w:t>
            </w:r>
          </w:p>
        </w:tc>
      </w:tr>
      <w:tr w:rsidR="00E51A2E" w:rsidRPr="00597443" w14:paraId="1D6481E6" w14:textId="77777777" w:rsidTr="00A82D92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11BB70" w14:textId="77777777" w:rsidR="00E51A2E" w:rsidRPr="00DC7A5E" w:rsidRDefault="00E51A2E" w:rsidP="007E3A0A">
            <w:pPr>
              <w:ind w:left="426"/>
              <w:jc w:val="both"/>
              <w:rPr>
                <w:b/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7A50847C" w14:textId="77777777" w:rsidR="00E51A2E" w:rsidRPr="00DC7A5E" w:rsidRDefault="00E51A2E" w:rsidP="007E3A0A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DC7A5E">
              <w:rPr>
                <w:b/>
                <w:color w:val="0F243E" w:themeColor="text2" w:themeShade="80"/>
                <w:sz w:val="22"/>
                <w:szCs w:val="22"/>
              </w:rPr>
              <w:t>6 000 руб.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7903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1E43A3C3" w14:textId="77777777" w:rsidTr="00A82D92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3D80808" w14:textId="1281D065" w:rsidR="00E51A2E" w:rsidRPr="00DC7A5E" w:rsidRDefault="00E51A2E" w:rsidP="0024247B">
            <w:pPr>
              <w:ind w:left="426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 xml:space="preserve">онлайн-участие </w:t>
            </w:r>
          </w:p>
        </w:tc>
        <w:tc>
          <w:tcPr>
            <w:tcW w:w="3892" w:type="dxa"/>
            <w:tcBorders>
              <w:right w:val="nil"/>
            </w:tcBorders>
          </w:tcPr>
          <w:p w14:paraId="01B8EC95" w14:textId="5D04E87D" w:rsidR="00E51A2E" w:rsidRPr="00DC7A5E" w:rsidRDefault="00E51A2E" w:rsidP="00A82D92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DC7A5E">
              <w:rPr>
                <w:b/>
                <w:color w:val="0F243E" w:themeColor="text2" w:themeShade="80"/>
                <w:sz w:val="22"/>
                <w:szCs w:val="22"/>
              </w:rPr>
              <w:t>2 </w:t>
            </w:r>
            <w:r w:rsidR="00A82D92">
              <w:rPr>
                <w:b/>
                <w:color w:val="0F243E" w:themeColor="text2" w:themeShade="80"/>
                <w:sz w:val="22"/>
                <w:szCs w:val="22"/>
              </w:rPr>
              <w:t>6</w:t>
            </w:r>
            <w:r w:rsidRPr="00DC7A5E">
              <w:rPr>
                <w:b/>
                <w:color w:val="0F243E" w:themeColor="text2" w:themeShade="80"/>
                <w:sz w:val="22"/>
                <w:szCs w:val="22"/>
              </w:rPr>
              <w:t>00 руб.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C328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05A77C51" w14:textId="77777777" w:rsidTr="00A82D92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EE2C3C" w14:textId="77777777" w:rsidR="00E51A2E" w:rsidRPr="00DC7A5E" w:rsidRDefault="00E51A2E" w:rsidP="007E3A0A">
            <w:pPr>
              <w:ind w:left="426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C7A5E">
              <w:rPr>
                <w:color w:val="0F243E" w:themeColor="text2" w:themeShade="80"/>
                <w:sz w:val="22"/>
                <w:szCs w:val="22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0323BCB6" w14:textId="0D379211" w:rsidR="00E51A2E" w:rsidRPr="00DC7A5E" w:rsidRDefault="00A82D92" w:rsidP="007E3A0A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color w:val="0F243E" w:themeColor="text2" w:themeShade="80"/>
                <w:sz w:val="22"/>
                <w:szCs w:val="22"/>
              </w:rPr>
              <w:t>2 1</w:t>
            </w:r>
            <w:r w:rsidR="00E51A2E" w:rsidRPr="00DC7A5E">
              <w:rPr>
                <w:b/>
                <w:color w:val="0F243E" w:themeColor="text2" w:themeShade="80"/>
                <w:sz w:val="22"/>
                <w:szCs w:val="22"/>
              </w:rPr>
              <w:t>00 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B4D7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</w:tbl>
    <w:p w14:paraId="0558EEBC" w14:textId="77777777" w:rsidR="00E51A2E" w:rsidRPr="00597443" w:rsidRDefault="00E51A2E" w:rsidP="00E51A2E">
      <w:pPr>
        <w:rPr>
          <w:b/>
          <w:sz w:val="20"/>
        </w:rPr>
      </w:pPr>
    </w:p>
    <w:p w14:paraId="1709B675" w14:textId="6AA97660" w:rsidR="00E51A2E" w:rsidRDefault="00E51A2E" w:rsidP="00E51A2E">
      <w:pPr>
        <w:jc w:val="center"/>
        <w:rPr>
          <w:b/>
          <w:color w:val="17365D" w:themeColor="text2" w:themeShade="BF"/>
        </w:rPr>
      </w:pPr>
      <w:r w:rsidRPr="00907B75">
        <w:rPr>
          <w:color w:val="17365D" w:themeColor="text2" w:themeShade="BF"/>
        </w:rPr>
        <w:t>В стоимость участия входит</w:t>
      </w:r>
      <w:r w:rsidRPr="00907B75">
        <w:rPr>
          <w:b/>
          <w:color w:val="17365D" w:themeColor="text2" w:themeShade="BF"/>
        </w:rPr>
        <w:t xml:space="preserve"> обед, раздаточный материал и комплект для записи.</w:t>
      </w:r>
    </w:p>
    <w:p w14:paraId="1F2EEE4B" w14:textId="77777777" w:rsidR="00A82D92" w:rsidRDefault="00A82D92" w:rsidP="00E51A2E">
      <w:pPr>
        <w:jc w:val="center"/>
        <w:rPr>
          <w:b/>
          <w:color w:val="17365D" w:themeColor="text2" w:themeShade="BF"/>
        </w:rPr>
      </w:pPr>
    </w:p>
    <w:p w14:paraId="022F32D8" w14:textId="77777777" w:rsidR="00E51A2E" w:rsidRDefault="00E51A2E" w:rsidP="00E51A2E">
      <w:pPr>
        <w:jc w:val="center"/>
        <w:rPr>
          <w:color w:val="244061" w:themeColor="accent1" w:themeShade="80"/>
          <w:sz w:val="20"/>
        </w:rPr>
      </w:pPr>
    </w:p>
    <w:p w14:paraId="3FCB592C" w14:textId="55F6D4A7" w:rsidR="00E51A2E" w:rsidRPr="00907B75" w:rsidRDefault="00E51A2E" w:rsidP="00E51A2E">
      <w:pPr>
        <w:jc w:val="center"/>
        <w:rPr>
          <w:color w:val="244061" w:themeColor="accent1" w:themeShade="80"/>
          <w:sz w:val="20"/>
        </w:rPr>
      </w:pPr>
      <w:r w:rsidRPr="00907B75">
        <w:rPr>
          <w:color w:val="244061" w:themeColor="accent1" w:themeShade="80"/>
          <w:sz w:val="20"/>
        </w:rPr>
        <w:t xml:space="preserve">Подробности уточняйте по тел. </w:t>
      </w:r>
      <w:r w:rsidR="00E43885">
        <w:rPr>
          <w:color w:val="244061" w:themeColor="accent1" w:themeShade="80"/>
          <w:sz w:val="20"/>
        </w:rPr>
        <w:t>+79818209828 Светлана</w:t>
      </w:r>
    </w:p>
    <w:p w14:paraId="7728CCBB" w14:textId="77777777" w:rsidR="00E51A2E" w:rsidRPr="00597443" w:rsidRDefault="00E51A2E" w:rsidP="00E51A2E">
      <w:pPr>
        <w:jc w:val="center"/>
        <w:rPr>
          <w:sz w:val="20"/>
        </w:rPr>
      </w:pPr>
    </w:p>
    <w:p w14:paraId="73431818" w14:textId="77777777" w:rsidR="00E51A2E" w:rsidRPr="00907B75" w:rsidRDefault="00E51A2E" w:rsidP="00E51A2E">
      <w:pPr>
        <w:pStyle w:val="a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eastAsia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70003BCA" w14:textId="77777777" w:rsidR="00E51A2E" w:rsidRPr="00597443" w:rsidRDefault="00E51A2E" w:rsidP="00E51A2E">
      <w:pPr>
        <w:pStyle w:val="aa"/>
        <w:spacing w:after="0" w:line="240" w:lineRule="auto"/>
        <w:ind w:left="771"/>
        <w:rPr>
          <w:rFonts w:eastAsia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51A2E" w:rsidRPr="00597443" w14:paraId="04588CF4" w14:textId="77777777" w:rsidTr="007E3A0A">
        <w:trPr>
          <w:trHeight w:val="294"/>
        </w:trPr>
        <w:tc>
          <w:tcPr>
            <w:tcW w:w="10314" w:type="dxa"/>
            <w:shd w:val="clear" w:color="auto" w:fill="auto"/>
          </w:tcPr>
          <w:p w14:paraId="5402A3F3" w14:textId="5E971DC4" w:rsidR="00E51A2E" w:rsidRPr="00907B75" w:rsidRDefault="00E51A2E" w:rsidP="007E3A0A">
            <w:pPr>
              <w:ind w:firstLine="34"/>
              <w:rPr>
                <w:sz w:val="20"/>
                <w:szCs w:val="20"/>
              </w:rPr>
            </w:pP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сертификат на 10 часов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системы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  <w:lang w:val="en-US"/>
              </w:rPr>
              <w:t>UCPA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в зачет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40-часовой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программы повышения квалификации</w:t>
            </w:r>
            <w:r w:rsidR="004B7363">
              <w:rPr>
                <w:color w:val="403152" w:themeColor="accent4" w:themeShade="80"/>
                <w:sz w:val="20"/>
                <w:szCs w:val="20"/>
              </w:rPr>
              <w:t xml:space="preserve"> (стоимость 1100 </w:t>
            </w:r>
            <w:proofErr w:type="spellStart"/>
            <w:r w:rsidR="004B7363">
              <w:rPr>
                <w:color w:val="403152" w:themeColor="accent4" w:themeShade="80"/>
                <w:sz w:val="20"/>
                <w:szCs w:val="20"/>
              </w:rPr>
              <w:t>руб</w:t>
            </w:r>
            <w:proofErr w:type="spellEnd"/>
            <w:r w:rsidR="004B7363">
              <w:rPr>
                <w:color w:val="403152" w:themeColor="accent4" w:themeShade="80"/>
                <w:sz w:val="20"/>
                <w:szCs w:val="20"/>
              </w:rPr>
              <w:t>)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>.</w:t>
            </w:r>
          </w:p>
        </w:tc>
      </w:tr>
    </w:tbl>
    <w:p w14:paraId="542420CA" w14:textId="77777777" w:rsidR="00E51A2E" w:rsidRDefault="00E51A2E" w:rsidP="00E51A2E">
      <w:pPr>
        <w:rPr>
          <w:color w:val="000000" w:themeColor="text1"/>
          <w:sz w:val="18"/>
          <w:szCs w:val="20"/>
        </w:rPr>
      </w:pPr>
    </w:p>
    <w:p w14:paraId="46CD0C9B" w14:textId="77777777" w:rsidR="00E51A2E" w:rsidRPr="00635A0B" w:rsidRDefault="00E51A2E" w:rsidP="00635A0B">
      <w:pPr>
        <w:rPr>
          <w:b/>
          <w:sz w:val="18"/>
          <w:szCs w:val="18"/>
        </w:rPr>
      </w:pPr>
    </w:p>
    <w:p w14:paraId="0DB3B494" w14:textId="77777777" w:rsidR="00635A0B" w:rsidRPr="00CC4A0C" w:rsidRDefault="00635A0B" w:rsidP="0020276A">
      <w:pPr>
        <w:pStyle w:val="a3"/>
        <w:rPr>
          <w:b/>
        </w:rPr>
      </w:pPr>
    </w:p>
    <w:sectPr w:rsidR="00635A0B" w:rsidRPr="00CC4A0C" w:rsidSect="00635A0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B1"/>
    <w:multiLevelType w:val="hybridMultilevel"/>
    <w:tmpl w:val="52E233E4"/>
    <w:lvl w:ilvl="0" w:tplc="FCEA5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269BA"/>
    <w:multiLevelType w:val="hybridMultilevel"/>
    <w:tmpl w:val="6E844E3C"/>
    <w:lvl w:ilvl="0" w:tplc="D3C4BBD0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89D"/>
    <w:multiLevelType w:val="hybridMultilevel"/>
    <w:tmpl w:val="53FC4066"/>
    <w:lvl w:ilvl="0" w:tplc="806E8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8430F"/>
    <w:multiLevelType w:val="hybridMultilevel"/>
    <w:tmpl w:val="C01C9AC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4716F40"/>
    <w:multiLevelType w:val="hybridMultilevel"/>
    <w:tmpl w:val="1EB0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5C86"/>
    <w:multiLevelType w:val="hybridMultilevel"/>
    <w:tmpl w:val="AA3AE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CF5013"/>
    <w:multiLevelType w:val="hybridMultilevel"/>
    <w:tmpl w:val="EAFE97C6"/>
    <w:lvl w:ilvl="0" w:tplc="1020F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C181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7423F1C"/>
    <w:multiLevelType w:val="hybridMultilevel"/>
    <w:tmpl w:val="8278DD70"/>
    <w:lvl w:ilvl="0" w:tplc="C3E271E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6A1"/>
    <w:multiLevelType w:val="hybridMultilevel"/>
    <w:tmpl w:val="C51690B6"/>
    <w:lvl w:ilvl="0" w:tplc="C3E271E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B6F48"/>
    <w:multiLevelType w:val="hybridMultilevel"/>
    <w:tmpl w:val="BABEABD0"/>
    <w:lvl w:ilvl="0" w:tplc="27A663C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073318"/>
    <w:multiLevelType w:val="hybridMultilevel"/>
    <w:tmpl w:val="AEF6C30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9D79E6"/>
    <w:multiLevelType w:val="hybridMultilevel"/>
    <w:tmpl w:val="91A855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205D02"/>
    <w:multiLevelType w:val="multilevel"/>
    <w:tmpl w:val="A5D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A6417"/>
    <w:multiLevelType w:val="multilevel"/>
    <w:tmpl w:val="16E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B6E60"/>
    <w:multiLevelType w:val="hybridMultilevel"/>
    <w:tmpl w:val="74A66C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1D6E8C74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030AFA"/>
    <w:multiLevelType w:val="hybridMultilevel"/>
    <w:tmpl w:val="7C50929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072B5F"/>
    <w:multiLevelType w:val="hybridMultilevel"/>
    <w:tmpl w:val="AC68BCBC"/>
    <w:lvl w:ilvl="0" w:tplc="B3DCA3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0366F"/>
    <w:multiLevelType w:val="hybridMultilevel"/>
    <w:tmpl w:val="8278D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D31AA"/>
    <w:multiLevelType w:val="hybridMultilevel"/>
    <w:tmpl w:val="FACE44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96E42"/>
    <w:multiLevelType w:val="hybridMultilevel"/>
    <w:tmpl w:val="5142CD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2"/>
  </w:num>
  <w:num w:numId="10">
    <w:abstractNumId w:val="21"/>
  </w:num>
  <w:num w:numId="11">
    <w:abstractNumId w:val="13"/>
  </w:num>
  <w:num w:numId="12">
    <w:abstractNumId w:val="15"/>
  </w:num>
  <w:num w:numId="13">
    <w:abstractNumId w:val="14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4"/>
    <w:rsid w:val="00001203"/>
    <w:rsid w:val="000307B9"/>
    <w:rsid w:val="00071868"/>
    <w:rsid w:val="000821D1"/>
    <w:rsid w:val="001076DC"/>
    <w:rsid w:val="001C6A9C"/>
    <w:rsid w:val="001F0878"/>
    <w:rsid w:val="0020276A"/>
    <w:rsid w:val="0024247B"/>
    <w:rsid w:val="0026156C"/>
    <w:rsid w:val="00263855"/>
    <w:rsid w:val="00293A88"/>
    <w:rsid w:val="002E2594"/>
    <w:rsid w:val="003A060B"/>
    <w:rsid w:val="00454173"/>
    <w:rsid w:val="00477273"/>
    <w:rsid w:val="004B7363"/>
    <w:rsid w:val="00516E25"/>
    <w:rsid w:val="00523FA4"/>
    <w:rsid w:val="00565080"/>
    <w:rsid w:val="005F5293"/>
    <w:rsid w:val="00635A0B"/>
    <w:rsid w:val="006D38FE"/>
    <w:rsid w:val="00723DBB"/>
    <w:rsid w:val="00760F7C"/>
    <w:rsid w:val="00780F17"/>
    <w:rsid w:val="007A144E"/>
    <w:rsid w:val="007C6B40"/>
    <w:rsid w:val="00842595"/>
    <w:rsid w:val="008703D5"/>
    <w:rsid w:val="00927C5B"/>
    <w:rsid w:val="009421D5"/>
    <w:rsid w:val="00A82D92"/>
    <w:rsid w:val="00B44B54"/>
    <w:rsid w:val="00BD46AC"/>
    <w:rsid w:val="00C17367"/>
    <w:rsid w:val="00CC0F60"/>
    <w:rsid w:val="00DB5B5E"/>
    <w:rsid w:val="00DC7A5E"/>
    <w:rsid w:val="00DD310A"/>
    <w:rsid w:val="00E43885"/>
    <w:rsid w:val="00E51A2E"/>
    <w:rsid w:val="00EA7565"/>
    <w:rsid w:val="00EB2E34"/>
    <w:rsid w:val="00EF6180"/>
    <w:rsid w:val="00F70C41"/>
    <w:rsid w:val="00FA67A2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616A-53B6-4245-8267-75EC55F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Кирсанова Светлана Олеговна</cp:lastModifiedBy>
  <cp:revision>3</cp:revision>
  <cp:lastPrinted>2021-10-05T08:14:00Z</cp:lastPrinted>
  <dcterms:created xsi:type="dcterms:W3CDTF">2022-03-22T11:48:00Z</dcterms:created>
  <dcterms:modified xsi:type="dcterms:W3CDTF">2022-03-22T11:49:00Z</dcterms:modified>
</cp:coreProperties>
</file>