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A061" w14:textId="6F16E0AA" w:rsidR="00635A0B" w:rsidRPr="00423F93" w:rsidRDefault="00635A0B" w:rsidP="00635A0B">
      <w:pPr>
        <w:pStyle w:val="a3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1AEA3F" wp14:editId="7460810A">
            <wp:simplePos x="0" y="0"/>
            <wp:positionH relativeFrom="column">
              <wp:posOffset>95250</wp:posOffset>
            </wp:positionH>
            <wp:positionV relativeFrom="paragraph">
              <wp:posOffset>-95250</wp:posOffset>
            </wp:positionV>
            <wp:extent cx="6645910" cy="1001395"/>
            <wp:effectExtent l="0" t="0" r="2540" b="8255"/>
            <wp:wrapTight wrapText="bothSides">
              <wp:wrapPolygon edited="0">
                <wp:start x="0" y="0"/>
                <wp:lineTo x="0" y="21367"/>
                <wp:lineTo x="21546" y="21367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ком предл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F93">
        <w:rPr>
          <w:b/>
          <w:bCs/>
          <w:sz w:val="28"/>
          <w:szCs w:val="28"/>
        </w:rPr>
        <w:t xml:space="preserve"> </w:t>
      </w:r>
    </w:p>
    <w:p w14:paraId="64D036B8" w14:textId="77777777" w:rsidR="00635A0B" w:rsidRPr="006F2903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6F2903">
        <w:rPr>
          <w:b/>
          <w:i/>
          <w:color w:val="5F497A" w:themeColor="accent4" w:themeShade="BF"/>
          <w:sz w:val="28"/>
          <w:szCs w:val="28"/>
        </w:rPr>
        <w:t>Уважаемые партнеры!</w:t>
      </w:r>
    </w:p>
    <w:p w14:paraId="22D01A7F" w14:textId="77777777" w:rsidR="00635A0B" w:rsidRPr="006F2903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6F2903">
        <w:rPr>
          <w:b/>
          <w:i/>
          <w:color w:val="5F497A" w:themeColor="accent4" w:themeShade="BF"/>
          <w:sz w:val="28"/>
          <w:szCs w:val="28"/>
        </w:rPr>
        <w:t>Предлагаем Вам посетить  совместный семинар</w:t>
      </w:r>
    </w:p>
    <w:p w14:paraId="249531F6" w14:textId="77777777" w:rsidR="00635A0B" w:rsidRPr="006F2903" w:rsidRDefault="00635A0B" w:rsidP="00635A0B">
      <w:pPr>
        <w:contextualSpacing/>
        <w:jc w:val="center"/>
        <w:rPr>
          <w:b/>
          <w:i/>
          <w:color w:val="5F497A" w:themeColor="accent4" w:themeShade="BF"/>
          <w:sz w:val="28"/>
          <w:szCs w:val="28"/>
        </w:rPr>
      </w:pPr>
      <w:r w:rsidRPr="006F2903">
        <w:rPr>
          <w:b/>
          <w:i/>
          <w:color w:val="5F497A" w:themeColor="accent4" w:themeShade="BF"/>
          <w:sz w:val="28"/>
          <w:szCs w:val="28"/>
        </w:rPr>
        <w:t>ООО «Ваше Право Консультант Плюс» и</w:t>
      </w:r>
      <w:r w:rsidRPr="006F2903">
        <w:rPr>
          <w:b/>
          <w:color w:val="5F497A" w:themeColor="accent4" w:themeShade="BF"/>
          <w:sz w:val="28"/>
          <w:szCs w:val="28"/>
        </w:rPr>
        <w:t xml:space="preserve"> </w:t>
      </w:r>
      <w:r w:rsidRPr="006F2903">
        <w:rPr>
          <w:b/>
          <w:i/>
          <w:color w:val="5F497A" w:themeColor="accent4" w:themeShade="BF"/>
          <w:sz w:val="28"/>
          <w:szCs w:val="28"/>
        </w:rPr>
        <w:t>Палаты профессиональных бухгалтеров и аудиторов на тему:</w:t>
      </w:r>
    </w:p>
    <w:p w14:paraId="13174E13" w14:textId="77777777" w:rsidR="00635A0B" w:rsidRPr="00635A0B" w:rsidRDefault="00635A0B" w:rsidP="008703D5">
      <w:pPr>
        <w:pStyle w:val="a3"/>
        <w:rPr>
          <w:b/>
          <w:bCs/>
          <w:sz w:val="28"/>
          <w:szCs w:val="28"/>
        </w:rPr>
      </w:pPr>
    </w:p>
    <w:p w14:paraId="2C9874A8" w14:textId="62D1D8C8" w:rsidR="00B44B54" w:rsidRDefault="009724F2" w:rsidP="009724F2">
      <w:pPr>
        <w:jc w:val="center"/>
        <w:rPr>
          <w:rFonts w:eastAsiaTheme="minorHAnsi"/>
          <w:b/>
          <w:bCs/>
          <w:color w:val="984806" w:themeColor="accent6" w:themeShade="80"/>
          <w:sz w:val="30"/>
          <w:szCs w:val="30"/>
          <w:lang w:eastAsia="en-US"/>
        </w:rPr>
      </w:pPr>
      <w:r w:rsidRPr="009724F2">
        <w:rPr>
          <w:rFonts w:eastAsiaTheme="minorHAnsi"/>
          <w:b/>
          <w:bCs/>
          <w:color w:val="984806" w:themeColor="accent6" w:themeShade="80"/>
          <w:sz w:val="30"/>
          <w:szCs w:val="30"/>
          <w:lang w:eastAsia="en-US"/>
        </w:rPr>
        <w:t>Вопросы составления и представления бухгал</w:t>
      </w:r>
      <w:r>
        <w:rPr>
          <w:rFonts w:eastAsiaTheme="minorHAnsi"/>
          <w:b/>
          <w:bCs/>
          <w:color w:val="984806" w:themeColor="accent6" w:themeShade="80"/>
          <w:sz w:val="30"/>
          <w:szCs w:val="30"/>
          <w:lang w:eastAsia="en-US"/>
        </w:rPr>
        <w:t xml:space="preserve">терской отчетности за          2021 год. </w:t>
      </w:r>
      <w:r w:rsidRPr="009724F2">
        <w:rPr>
          <w:rFonts w:eastAsiaTheme="minorHAnsi"/>
          <w:b/>
          <w:bCs/>
          <w:color w:val="984806" w:themeColor="accent6" w:themeShade="80"/>
          <w:sz w:val="30"/>
          <w:szCs w:val="30"/>
          <w:lang w:eastAsia="en-US"/>
        </w:rPr>
        <w:t>Наиболее важные и</w:t>
      </w:r>
      <w:r>
        <w:rPr>
          <w:rFonts w:eastAsiaTheme="minorHAnsi"/>
          <w:b/>
          <w:bCs/>
          <w:color w:val="984806" w:themeColor="accent6" w:themeShade="80"/>
          <w:sz w:val="30"/>
          <w:szCs w:val="30"/>
          <w:lang w:eastAsia="en-US"/>
        </w:rPr>
        <w:t>зменения Налогового кодекса РФ, о</w:t>
      </w:r>
      <w:r w:rsidRPr="009724F2">
        <w:rPr>
          <w:rFonts w:eastAsiaTheme="minorHAnsi"/>
          <w:b/>
          <w:bCs/>
          <w:color w:val="984806" w:themeColor="accent6" w:themeShade="80"/>
          <w:sz w:val="30"/>
          <w:szCs w:val="30"/>
          <w:lang w:eastAsia="en-US"/>
        </w:rPr>
        <w:t>бзор иных актуальных вопросов налогообложения.</w:t>
      </w:r>
    </w:p>
    <w:p w14:paraId="27766F36" w14:textId="77777777" w:rsidR="009724F2" w:rsidRPr="009724F2" w:rsidRDefault="009724F2" w:rsidP="009724F2">
      <w:pPr>
        <w:jc w:val="center"/>
        <w:rPr>
          <w:rFonts w:eastAsiaTheme="minorHAnsi"/>
          <w:b/>
          <w:bCs/>
          <w:color w:val="984806" w:themeColor="accent6" w:themeShade="80"/>
          <w:sz w:val="30"/>
          <w:szCs w:val="30"/>
          <w:lang w:eastAsia="en-US"/>
        </w:rPr>
      </w:pPr>
    </w:p>
    <w:p w14:paraId="5D1C55EE" w14:textId="6A6197C7" w:rsidR="00635A0B" w:rsidRPr="00836E75" w:rsidRDefault="00635A0B" w:rsidP="00635A0B">
      <w:pPr>
        <w:contextualSpacing/>
        <w:rPr>
          <w:b/>
          <w:color w:val="984806" w:themeColor="accent6" w:themeShade="80"/>
          <w:sz w:val="26"/>
          <w:szCs w:val="26"/>
        </w:rPr>
      </w:pPr>
      <w:r w:rsidRPr="00836E75">
        <w:rPr>
          <w:b/>
          <w:color w:val="5F497A" w:themeColor="accent4" w:themeShade="BF"/>
          <w:sz w:val="26"/>
          <w:szCs w:val="26"/>
          <w:u w:val="single"/>
        </w:rPr>
        <w:t>Дата и время</w:t>
      </w:r>
      <w:r w:rsidRPr="00836E75">
        <w:rPr>
          <w:b/>
          <w:color w:val="5F497A" w:themeColor="accent4" w:themeShade="BF"/>
          <w:sz w:val="26"/>
          <w:szCs w:val="26"/>
        </w:rPr>
        <w:t xml:space="preserve">: </w:t>
      </w:r>
      <w:r w:rsidR="00004EE4" w:rsidRPr="00004EE4">
        <w:rPr>
          <w:b/>
          <w:color w:val="984806" w:themeColor="accent6" w:themeShade="80"/>
          <w:sz w:val="26"/>
          <w:szCs w:val="26"/>
        </w:rPr>
        <w:t>25</w:t>
      </w:r>
      <w:r w:rsidRPr="00836E75">
        <w:rPr>
          <w:b/>
          <w:color w:val="984806" w:themeColor="accent6" w:themeShade="80"/>
          <w:sz w:val="26"/>
          <w:szCs w:val="26"/>
        </w:rPr>
        <w:t xml:space="preserve"> </w:t>
      </w:r>
      <w:r w:rsidR="009724F2">
        <w:rPr>
          <w:b/>
          <w:color w:val="984806" w:themeColor="accent6" w:themeShade="80"/>
          <w:sz w:val="26"/>
          <w:szCs w:val="26"/>
        </w:rPr>
        <w:t>февраля</w:t>
      </w:r>
      <w:r w:rsidRPr="00836E75">
        <w:rPr>
          <w:b/>
          <w:color w:val="984806" w:themeColor="accent6" w:themeShade="80"/>
          <w:sz w:val="26"/>
          <w:szCs w:val="26"/>
        </w:rPr>
        <w:t xml:space="preserve"> (</w:t>
      </w:r>
      <w:r w:rsidR="00C3218F">
        <w:rPr>
          <w:b/>
          <w:color w:val="984806" w:themeColor="accent6" w:themeShade="80"/>
          <w:sz w:val="26"/>
          <w:szCs w:val="26"/>
        </w:rPr>
        <w:t>пятница</w:t>
      </w:r>
      <w:r w:rsidRPr="00836E75">
        <w:rPr>
          <w:b/>
          <w:color w:val="984806" w:themeColor="accent6" w:themeShade="80"/>
          <w:sz w:val="26"/>
          <w:szCs w:val="26"/>
        </w:rPr>
        <w:t>) 10:00-1</w:t>
      </w:r>
      <w:r w:rsidR="00D045CC">
        <w:rPr>
          <w:b/>
          <w:color w:val="984806" w:themeColor="accent6" w:themeShade="80"/>
          <w:sz w:val="26"/>
          <w:szCs w:val="26"/>
        </w:rPr>
        <w:t>6</w:t>
      </w:r>
      <w:r w:rsidRPr="00836E75">
        <w:rPr>
          <w:b/>
          <w:color w:val="984806" w:themeColor="accent6" w:themeShade="80"/>
          <w:sz w:val="26"/>
          <w:szCs w:val="26"/>
        </w:rPr>
        <w:t>:00</w:t>
      </w:r>
    </w:p>
    <w:p w14:paraId="602BADF8" w14:textId="77777777" w:rsidR="00E51A2E" w:rsidRPr="00836E75" w:rsidRDefault="00E51A2E" w:rsidP="00635A0B">
      <w:pPr>
        <w:contextualSpacing/>
        <w:rPr>
          <w:b/>
          <w:color w:val="17365D" w:themeColor="text2" w:themeShade="BF"/>
          <w:sz w:val="26"/>
          <w:szCs w:val="26"/>
        </w:rPr>
      </w:pPr>
    </w:p>
    <w:p w14:paraId="23196C45" w14:textId="385A460E" w:rsidR="00635A0B" w:rsidRPr="00836E75" w:rsidRDefault="00635A0B" w:rsidP="00635A0B">
      <w:pPr>
        <w:shd w:val="clear" w:color="auto" w:fill="FFFFFF"/>
        <w:jc w:val="both"/>
        <w:rPr>
          <w:color w:val="244061" w:themeColor="accent1" w:themeShade="80"/>
          <w:sz w:val="26"/>
          <w:szCs w:val="26"/>
        </w:rPr>
      </w:pPr>
      <w:r w:rsidRPr="00AC5DD8">
        <w:rPr>
          <w:b/>
          <w:color w:val="5F497A" w:themeColor="accent4" w:themeShade="BF"/>
          <w:sz w:val="26"/>
          <w:szCs w:val="26"/>
          <w:u w:val="single"/>
        </w:rPr>
        <w:t>Лектор</w:t>
      </w:r>
      <w:r w:rsidRPr="00836E75">
        <w:rPr>
          <w:color w:val="000000" w:themeColor="text1"/>
          <w:sz w:val="26"/>
          <w:szCs w:val="26"/>
        </w:rPr>
        <w:t xml:space="preserve">: </w:t>
      </w:r>
      <w:r w:rsidR="00C3218F" w:rsidRPr="00C3218F">
        <w:rPr>
          <w:b/>
          <w:color w:val="984806" w:themeColor="accent6" w:themeShade="80"/>
          <w:sz w:val="26"/>
          <w:szCs w:val="26"/>
        </w:rPr>
        <w:t>Леонов Александр Владимирович</w:t>
      </w:r>
      <w:r w:rsidR="00836E75" w:rsidRPr="00836E75">
        <w:rPr>
          <w:color w:val="244061" w:themeColor="accent1" w:themeShade="80"/>
          <w:sz w:val="26"/>
          <w:szCs w:val="26"/>
        </w:rPr>
        <w:t xml:space="preserve"> - </w:t>
      </w:r>
      <w:r w:rsidR="00C3218F" w:rsidRPr="00C3218F">
        <w:rPr>
          <w:color w:val="244061" w:themeColor="accent1" w:themeShade="80"/>
          <w:sz w:val="26"/>
          <w:szCs w:val="26"/>
        </w:rPr>
        <w:t>управляющий партнер Консалтинговой группы, член Экспертного совета по налоговому законодательству при Комитете Государственной Думы по бюджету и налогам, аттестованный аудитор автор и соавтор ряда материалов в периодических изданиях и справочных пособий по бухгалтерскому учету и налогообложению</w:t>
      </w:r>
      <w:r w:rsidR="00836E75" w:rsidRPr="00836E75">
        <w:rPr>
          <w:color w:val="244061" w:themeColor="accent1" w:themeShade="80"/>
          <w:sz w:val="26"/>
          <w:szCs w:val="26"/>
        </w:rPr>
        <w:t>.</w:t>
      </w:r>
    </w:p>
    <w:p w14:paraId="06BDF92F" w14:textId="77777777" w:rsidR="00E51A2E" w:rsidRPr="00836E75" w:rsidRDefault="00E51A2E" w:rsidP="00635A0B">
      <w:pPr>
        <w:shd w:val="clear" w:color="auto" w:fill="FFFFFF"/>
        <w:jc w:val="both"/>
        <w:rPr>
          <w:color w:val="17365D" w:themeColor="text2" w:themeShade="BF"/>
          <w:sz w:val="26"/>
          <w:szCs w:val="26"/>
        </w:rPr>
      </w:pPr>
    </w:p>
    <w:p w14:paraId="4996672A" w14:textId="77777777" w:rsidR="00635A0B" w:rsidRPr="00836E75" w:rsidRDefault="00635A0B" w:rsidP="00635A0B">
      <w:pPr>
        <w:jc w:val="both"/>
        <w:rPr>
          <w:color w:val="17365D" w:themeColor="text2" w:themeShade="BF"/>
          <w:sz w:val="26"/>
          <w:szCs w:val="26"/>
        </w:rPr>
      </w:pPr>
      <w:r w:rsidRPr="00836E75">
        <w:rPr>
          <w:b/>
          <w:color w:val="5F497A" w:themeColor="accent4" w:themeShade="BF"/>
          <w:sz w:val="26"/>
          <w:szCs w:val="26"/>
          <w:u w:val="single"/>
        </w:rPr>
        <w:t>Место проведения</w:t>
      </w:r>
      <w:r w:rsidRPr="00836E75">
        <w:rPr>
          <w:b/>
          <w:color w:val="000000" w:themeColor="text1"/>
          <w:sz w:val="26"/>
          <w:szCs w:val="26"/>
        </w:rPr>
        <w:t>:</w:t>
      </w:r>
      <w:r w:rsidRPr="00836E75">
        <w:rPr>
          <w:color w:val="000000" w:themeColor="text1"/>
          <w:sz w:val="26"/>
          <w:szCs w:val="26"/>
        </w:rPr>
        <w:t xml:space="preserve"> </w:t>
      </w:r>
      <w:r w:rsidRPr="00836E75">
        <w:rPr>
          <w:color w:val="17365D" w:themeColor="text2" w:themeShade="BF"/>
          <w:sz w:val="26"/>
          <w:szCs w:val="26"/>
        </w:rPr>
        <w:t xml:space="preserve">г. Санкт-Петербург, </w:t>
      </w:r>
      <w:proofErr w:type="spellStart"/>
      <w:r w:rsidRPr="00836E75">
        <w:rPr>
          <w:color w:val="17365D" w:themeColor="text2" w:themeShade="BF"/>
          <w:sz w:val="26"/>
          <w:szCs w:val="26"/>
        </w:rPr>
        <w:t>Батайский</w:t>
      </w:r>
      <w:proofErr w:type="spellEnd"/>
      <w:r w:rsidRPr="00836E75">
        <w:rPr>
          <w:color w:val="17365D" w:themeColor="text2" w:themeShade="BF"/>
          <w:sz w:val="26"/>
          <w:szCs w:val="26"/>
        </w:rPr>
        <w:t xml:space="preserve"> пер. 3А, отель «</w:t>
      </w:r>
      <w:proofErr w:type="spellStart"/>
      <w:r w:rsidRPr="00836E75">
        <w:rPr>
          <w:color w:val="17365D" w:themeColor="text2" w:themeShade="BF"/>
          <w:sz w:val="26"/>
          <w:szCs w:val="26"/>
          <w:lang w:val="en-US"/>
        </w:rPr>
        <w:t>Sokos</w:t>
      </w:r>
      <w:proofErr w:type="spellEnd"/>
      <w:r w:rsidRPr="00836E75">
        <w:rPr>
          <w:color w:val="17365D" w:themeColor="text2" w:themeShade="BF"/>
          <w:sz w:val="26"/>
          <w:szCs w:val="26"/>
        </w:rPr>
        <w:t xml:space="preserve"> </w:t>
      </w:r>
      <w:r w:rsidRPr="00836E75">
        <w:rPr>
          <w:color w:val="17365D" w:themeColor="text2" w:themeShade="BF"/>
          <w:sz w:val="26"/>
          <w:szCs w:val="26"/>
          <w:lang w:val="en-US"/>
        </w:rPr>
        <w:t>Olympia</w:t>
      </w:r>
      <w:r w:rsidRPr="00836E75">
        <w:rPr>
          <w:color w:val="17365D" w:themeColor="text2" w:themeShade="BF"/>
          <w:sz w:val="26"/>
          <w:szCs w:val="26"/>
        </w:rPr>
        <w:t xml:space="preserve"> </w:t>
      </w:r>
      <w:r w:rsidRPr="00836E75">
        <w:rPr>
          <w:color w:val="17365D" w:themeColor="text2" w:themeShade="BF"/>
          <w:sz w:val="26"/>
          <w:szCs w:val="26"/>
          <w:lang w:val="en-US"/>
        </w:rPr>
        <w:t>Garden</w:t>
      </w:r>
      <w:r w:rsidRPr="00836E75">
        <w:rPr>
          <w:color w:val="17365D" w:themeColor="text2" w:themeShade="BF"/>
          <w:sz w:val="26"/>
          <w:szCs w:val="26"/>
        </w:rPr>
        <w:t>»</w:t>
      </w:r>
    </w:p>
    <w:p w14:paraId="20EC13A1" w14:textId="77777777" w:rsidR="00635A0B" w:rsidRPr="002C2EBB" w:rsidRDefault="00635A0B" w:rsidP="00635A0B">
      <w:pPr>
        <w:jc w:val="both"/>
      </w:pPr>
    </w:p>
    <w:p w14:paraId="412A6B50" w14:textId="77777777" w:rsidR="007C6B40" w:rsidRPr="00481FEF" w:rsidRDefault="007C6B40" w:rsidP="00481FEF">
      <w:pPr>
        <w:pStyle w:val="aa"/>
        <w:spacing w:after="0" w:line="240" w:lineRule="auto"/>
        <w:ind w:hanging="720"/>
        <w:jc w:val="both"/>
        <w:rPr>
          <w:rFonts w:eastAsia="Times New Roman" w:cs="Times New Roman"/>
          <w:b/>
          <w:color w:val="5F497A" w:themeColor="accent4" w:themeShade="BF"/>
          <w:sz w:val="26"/>
          <w:szCs w:val="26"/>
          <w:u w:val="single"/>
          <w:lang w:eastAsia="ru-RU"/>
        </w:rPr>
      </w:pPr>
    </w:p>
    <w:p w14:paraId="38ED15E2" w14:textId="7D72F57F" w:rsidR="008D6379" w:rsidRPr="00481FEF" w:rsidRDefault="00C3218F" w:rsidP="00481FEF">
      <w:pPr>
        <w:pStyle w:val="aa"/>
        <w:spacing w:after="0" w:line="240" w:lineRule="auto"/>
        <w:ind w:hanging="720"/>
        <w:jc w:val="center"/>
        <w:rPr>
          <w:rFonts w:eastAsia="Times New Roman" w:cs="Times New Roman"/>
          <w:b/>
          <w:color w:val="5F497A" w:themeColor="accent4" w:themeShade="BF"/>
          <w:sz w:val="28"/>
          <w:szCs w:val="28"/>
          <w:u w:val="single"/>
          <w:lang w:eastAsia="ru-RU"/>
        </w:rPr>
      </w:pPr>
      <w:r w:rsidRPr="00481FEF">
        <w:rPr>
          <w:rFonts w:eastAsia="Times New Roman" w:cs="Times New Roman"/>
          <w:b/>
          <w:color w:val="5F497A" w:themeColor="accent4" w:themeShade="BF"/>
          <w:sz w:val="28"/>
          <w:szCs w:val="28"/>
          <w:u w:val="single"/>
          <w:lang w:eastAsia="ru-RU"/>
        </w:rPr>
        <w:t>Перечень освещаемых вопросов:</w:t>
      </w:r>
    </w:p>
    <w:p w14:paraId="3E40FF39" w14:textId="77777777" w:rsidR="00C3218F" w:rsidRPr="008D6379" w:rsidRDefault="00C3218F" w:rsidP="008D6379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7203605E" w14:textId="77777777" w:rsidR="009724F2" w:rsidRP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9724F2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1. Подготовка и представление бухгалтерской отчетности за 2021 год:</w:t>
      </w:r>
    </w:p>
    <w:p w14:paraId="0694DC94" w14:textId="77777777" w:rsidR="009724F2" w:rsidRP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17DED8EF" w14:textId="195D4253" w:rsidR="009724F2" w:rsidRPr="009724F2" w:rsidRDefault="009724F2" w:rsidP="009724F2">
      <w:pPr>
        <w:pStyle w:val="aa"/>
        <w:numPr>
          <w:ilvl w:val="0"/>
          <w:numId w:val="27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Последние нормативные изменения по вопросам представления бухгалтерской отчетности и раскрытия информации о результатах проведения обязательного аудита;</w:t>
      </w:r>
    </w:p>
    <w:p w14:paraId="5B350105" w14:textId="29C635D5" w:rsidR="009724F2" w:rsidRPr="009724F2" w:rsidRDefault="009724F2" w:rsidP="009724F2">
      <w:pPr>
        <w:pStyle w:val="aa"/>
        <w:numPr>
          <w:ilvl w:val="0"/>
          <w:numId w:val="27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Рекомендации Минфина РФ по проведению аудита годовой бухгалтерской отчетности организаций за 2021 год, в том числе вопросы подготовки такой отчетности с учетом применения новых федеральных стандартов.</w:t>
      </w:r>
    </w:p>
    <w:p w14:paraId="1B74FF80" w14:textId="77777777" w:rsid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9724F2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2. Обзор наиболее важных изменений НК РФ, применяемых в 2022 году:</w:t>
      </w:r>
    </w:p>
    <w:p w14:paraId="340BF164" w14:textId="77777777" w:rsidR="009724F2" w:rsidRP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727A8D71" w14:textId="77777777" w:rsidR="009724F2" w:rsidRP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9724F2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2.1. Основные изменения НК РФ, принятые в первой половине 2021 года, в том числе:</w:t>
      </w:r>
    </w:p>
    <w:p w14:paraId="62910DE0" w14:textId="3B71F838" w:rsidR="009724F2" w:rsidRPr="009724F2" w:rsidRDefault="009724F2" w:rsidP="009724F2">
      <w:pPr>
        <w:pStyle w:val="aa"/>
        <w:numPr>
          <w:ilvl w:val="0"/>
          <w:numId w:val="28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Изменения в правилах обжалования актов, действий или бездействия налогового органа;</w:t>
      </w:r>
    </w:p>
    <w:p w14:paraId="71CE44E1" w14:textId="1E4C41E1" w:rsidR="009724F2" w:rsidRPr="009724F2" w:rsidRDefault="009724F2" w:rsidP="009724F2">
      <w:pPr>
        <w:pStyle w:val="aa"/>
        <w:numPr>
          <w:ilvl w:val="0"/>
          <w:numId w:val="28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Новые права налоговых и иных органов по истребованию информации и документов о налогоплательщиках;</w:t>
      </w:r>
    </w:p>
    <w:p w14:paraId="11356B45" w14:textId="6E881DCA" w:rsidR="009724F2" w:rsidRPr="009724F2" w:rsidRDefault="009724F2" w:rsidP="009724F2">
      <w:pPr>
        <w:pStyle w:val="aa"/>
        <w:numPr>
          <w:ilvl w:val="0"/>
          <w:numId w:val="28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 xml:space="preserve">Закрепление в НК РФ правил, касающихся порядка учета при налогообложении прибыли расходов на капитальные вложения в полностью </w:t>
      </w:r>
      <w:proofErr w:type="spellStart"/>
      <w:r w:rsidRPr="009724F2">
        <w:rPr>
          <w:bCs/>
          <w:color w:val="17365D" w:themeColor="text2" w:themeShade="BF"/>
          <w:sz w:val="28"/>
          <w:szCs w:val="28"/>
        </w:rPr>
        <w:t>самортизированные</w:t>
      </w:r>
      <w:proofErr w:type="spellEnd"/>
      <w:r w:rsidRPr="009724F2">
        <w:rPr>
          <w:bCs/>
          <w:color w:val="17365D" w:themeColor="text2" w:themeShade="BF"/>
          <w:sz w:val="28"/>
          <w:szCs w:val="28"/>
        </w:rPr>
        <w:t xml:space="preserve"> объекты;</w:t>
      </w:r>
    </w:p>
    <w:p w14:paraId="4960EF63" w14:textId="76EBD267" w:rsidR="009724F2" w:rsidRPr="009724F2" w:rsidRDefault="009724F2" w:rsidP="009724F2">
      <w:pPr>
        <w:pStyle w:val="aa"/>
        <w:numPr>
          <w:ilvl w:val="0"/>
          <w:numId w:val="28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lastRenderedPageBreak/>
        <w:t>Изменение правил применения "зачетного механизма" при выплате дивидендов и налич</w:t>
      </w:r>
      <w:proofErr w:type="gramStart"/>
      <w:r w:rsidRPr="009724F2">
        <w:rPr>
          <w:bCs/>
          <w:color w:val="17365D" w:themeColor="text2" w:themeShade="BF"/>
          <w:sz w:val="28"/>
          <w:szCs w:val="28"/>
        </w:rPr>
        <w:t>ии у и</w:t>
      </w:r>
      <w:proofErr w:type="gramEnd"/>
      <w:r w:rsidRPr="009724F2">
        <w:rPr>
          <w:bCs/>
          <w:color w:val="17365D" w:themeColor="text2" w:themeShade="BF"/>
          <w:sz w:val="28"/>
          <w:szCs w:val="28"/>
        </w:rPr>
        <w:t>сточника выплаты в том же периоде полученных дивидендов;</w:t>
      </w:r>
    </w:p>
    <w:p w14:paraId="26CC8115" w14:textId="4FF3BB91" w:rsidR="009724F2" w:rsidRPr="009724F2" w:rsidRDefault="009724F2" w:rsidP="009724F2">
      <w:pPr>
        <w:pStyle w:val="aa"/>
        <w:numPr>
          <w:ilvl w:val="0"/>
          <w:numId w:val="28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Введение освобождения от НДС в отношении деятельности по оказанию услуг общественного питания для отдельных категорий организаций.</w:t>
      </w:r>
    </w:p>
    <w:p w14:paraId="0E80CD7C" w14:textId="77777777" w:rsid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9724F2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2.2. Наиболее важные изменения НК РФ, предусмотренные федеральными законами, принятыми в конце 2021 года, в том числе:</w:t>
      </w:r>
    </w:p>
    <w:p w14:paraId="546F9725" w14:textId="77777777" w:rsidR="009724F2" w:rsidRP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7E57D321" w14:textId="117AE4A3" w:rsidR="009724F2" w:rsidRPr="009724F2" w:rsidRDefault="009724F2" w:rsidP="009724F2">
      <w:pPr>
        <w:pStyle w:val="aa"/>
        <w:numPr>
          <w:ilvl w:val="0"/>
          <w:numId w:val="29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Изменения правил налогообложения, касающихся договоров аренды (лизинга), по налогу на прибыль организаций и налогу на имущество организаций;</w:t>
      </w:r>
    </w:p>
    <w:p w14:paraId="0A4B84F7" w14:textId="32A1EC99" w:rsidR="009724F2" w:rsidRPr="009724F2" w:rsidRDefault="009724F2" w:rsidP="009724F2">
      <w:pPr>
        <w:pStyle w:val="aa"/>
        <w:numPr>
          <w:ilvl w:val="0"/>
          <w:numId w:val="29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Освобождение от НДФЛ доходов членов семьи с 2-мя и более детьми от продажи ими своего жилья с целью улучшения жилищных условий;</w:t>
      </w:r>
    </w:p>
    <w:p w14:paraId="0E38A178" w14:textId="08FE89F2" w:rsidR="009724F2" w:rsidRPr="009724F2" w:rsidRDefault="009724F2" w:rsidP="009724F2">
      <w:pPr>
        <w:pStyle w:val="aa"/>
        <w:numPr>
          <w:ilvl w:val="0"/>
          <w:numId w:val="29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Увеличение срока для представления возражений на исчисленную налоговым органом сумму налога в рамках нового порядка налогового администрирования уплаты организациями имущественных налогов;</w:t>
      </w:r>
    </w:p>
    <w:p w14:paraId="2D9732BD" w14:textId="27FEACA8" w:rsidR="009724F2" w:rsidRPr="009724F2" w:rsidRDefault="009724F2" w:rsidP="009724F2">
      <w:pPr>
        <w:pStyle w:val="aa"/>
        <w:numPr>
          <w:ilvl w:val="0"/>
          <w:numId w:val="29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Введение правил об уплате организациями единого налогового платежа.</w:t>
      </w:r>
    </w:p>
    <w:p w14:paraId="1C8254B4" w14:textId="77777777" w:rsid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  <w:r w:rsidRPr="009724F2"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  <w:t>3. Иные актуальные вопросы налогообложения:</w:t>
      </w:r>
    </w:p>
    <w:p w14:paraId="67C05B12" w14:textId="77777777" w:rsidR="009724F2" w:rsidRP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4EF84146" w14:textId="0B6B90D8" w:rsidR="009724F2" w:rsidRPr="009724F2" w:rsidRDefault="009724F2" w:rsidP="009724F2">
      <w:pPr>
        <w:pStyle w:val="aa"/>
        <w:numPr>
          <w:ilvl w:val="0"/>
          <w:numId w:val="30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О практике вызова в налоговый орган налогоплательщиков и истребования у них документов и информации;</w:t>
      </w:r>
    </w:p>
    <w:p w14:paraId="70327528" w14:textId="38A0702E" w:rsidR="009724F2" w:rsidRPr="009724F2" w:rsidRDefault="009724F2" w:rsidP="009724F2">
      <w:pPr>
        <w:pStyle w:val="aa"/>
        <w:numPr>
          <w:ilvl w:val="0"/>
          <w:numId w:val="30"/>
        </w:numPr>
        <w:rPr>
          <w:bCs/>
          <w:color w:val="17365D" w:themeColor="text2" w:themeShade="BF"/>
          <w:sz w:val="28"/>
          <w:szCs w:val="28"/>
        </w:rPr>
      </w:pPr>
      <w:r w:rsidRPr="009724F2">
        <w:rPr>
          <w:bCs/>
          <w:color w:val="17365D" w:themeColor="text2" w:themeShade="BF"/>
          <w:sz w:val="28"/>
          <w:szCs w:val="28"/>
        </w:rPr>
        <w:t>Позиция Верховного Суда РФ об исправлении ошибок, которые привели к излишней уплате налога на прибыль организаций.</w:t>
      </w:r>
    </w:p>
    <w:p w14:paraId="73AA8CB8" w14:textId="77777777" w:rsidR="009724F2" w:rsidRDefault="009724F2" w:rsidP="009724F2">
      <w:pPr>
        <w:rPr>
          <w:rFonts w:eastAsiaTheme="minorHAnsi" w:cstheme="minorBidi"/>
          <w:bCs/>
          <w:color w:val="17365D" w:themeColor="text2" w:themeShade="BF"/>
          <w:sz w:val="28"/>
          <w:szCs w:val="28"/>
          <w:lang w:eastAsia="en-US"/>
        </w:rPr>
      </w:pPr>
    </w:p>
    <w:p w14:paraId="43697ADD" w14:textId="5AC56E59" w:rsidR="00E51A2E" w:rsidRPr="006F17C8" w:rsidRDefault="009724F2" w:rsidP="009724F2">
      <w:pPr>
        <w:rPr>
          <w:i/>
          <w:color w:val="17365D" w:themeColor="text2" w:themeShade="BF"/>
          <w:sz w:val="18"/>
          <w:szCs w:val="18"/>
        </w:rPr>
      </w:pPr>
      <w:r w:rsidRPr="009724F2">
        <w:rPr>
          <w:rFonts w:eastAsiaTheme="minorHAnsi" w:cstheme="minorBidi"/>
          <w:bCs/>
          <w:i/>
          <w:color w:val="17365D" w:themeColor="text2" w:themeShade="BF"/>
          <w:sz w:val="28"/>
          <w:szCs w:val="28"/>
          <w:lang w:eastAsia="en-US"/>
        </w:rPr>
        <w:t xml:space="preserve"> </w:t>
      </w:r>
      <w:r w:rsidR="00E51A2E" w:rsidRPr="00E51A2E">
        <w:rPr>
          <w:i/>
          <w:color w:val="17365D" w:themeColor="text2" w:themeShade="BF"/>
          <w:sz w:val="18"/>
          <w:szCs w:val="18"/>
        </w:rPr>
        <w:t>*</w:t>
      </w:r>
      <w:r w:rsidR="00AA0696">
        <w:rPr>
          <w:i/>
          <w:color w:val="17365D" w:themeColor="text2" w:themeShade="BF"/>
          <w:sz w:val="18"/>
          <w:szCs w:val="18"/>
        </w:rPr>
        <w:t xml:space="preserve"> </w:t>
      </w:r>
      <w:r w:rsidR="00635A0B" w:rsidRPr="00E51A2E">
        <w:rPr>
          <w:i/>
          <w:color w:val="17365D" w:themeColor="text2" w:themeShade="BF"/>
          <w:sz w:val="18"/>
          <w:szCs w:val="18"/>
        </w:rPr>
        <w:t xml:space="preserve">Программа будет дополнена в случае принятия ко дню проведения семинара законов, вносящих изменения и дополнения в </w:t>
      </w:r>
      <w:r w:rsidR="00AA0696">
        <w:rPr>
          <w:i/>
          <w:color w:val="17365D" w:themeColor="text2" w:themeShade="BF"/>
          <w:sz w:val="18"/>
          <w:szCs w:val="18"/>
        </w:rPr>
        <w:t>Г</w:t>
      </w:r>
      <w:r w:rsidR="00635A0B" w:rsidRPr="00E51A2E">
        <w:rPr>
          <w:i/>
          <w:color w:val="17365D" w:themeColor="text2" w:themeShade="BF"/>
          <w:sz w:val="18"/>
          <w:szCs w:val="18"/>
        </w:rPr>
        <w:t xml:space="preserve">К РФ, НК РФ и других законодательных актов, имеющих отношение к </w:t>
      </w:r>
      <w:r w:rsidR="006F2903">
        <w:rPr>
          <w:i/>
          <w:color w:val="17365D" w:themeColor="text2" w:themeShade="BF"/>
          <w:sz w:val="18"/>
          <w:szCs w:val="18"/>
        </w:rPr>
        <w:t>тематике проведения семинара</w:t>
      </w:r>
      <w:r w:rsidR="00635A0B" w:rsidRPr="00E51A2E">
        <w:rPr>
          <w:i/>
          <w:color w:val="17365D" w:themeColor="text2" w:themeShade="BF"/>
          <w:sz w:val="18"/>
          <w:szCs w:val="18"/>
        </w:rPr>
        <w:t xml:space="preserve">. </w:t>
      </w:r>
    </w:p>
    <w:p w14:paraId="409B40FC" w14:textId="77777777" w:rsidR="00E51A2E" w:rsidRDefault="00E51A2E" w:rsidP="00E51A2E">
      <w:pPr>
        <w:jc w:val="center"/>
        <w:rPr>
          <w:b/>
          <w:color w:val="000000" w:themeColor="text1"/>
        </w:rPr>
      </w:pPr>
    </w:p>
    <w:p w14:paraId="1F18CF14" w14:textId="77777777" w:rsidR="00E51A2E" w:rsidRPr="00907B75" w:rsidRDefault="00E51A2E" w:rsidP="00E51A2E">
      <w:pPr>
        <w:jc w:val="center"/>
        <w:rPr>
          <w:b/>
          <w:color w:val="5F497A" w:themeColor="accent4" w:themeShade="BF"/>
          <w:sz w:val="28"/>
          <w:szCs w:val="28"/>
        </w:rPr>
      </w:pPr>
      <w:r w:rsidRPr="00907B75">
        <w:rPr>
          <w:b/>
          <w:color w:val="5F497A" w:themeColor="accent4" w:themeShade="BF"/>
          <w:sz w:val="28"/>
          <w:szCs w:val="28"/>
          <w:u w:val="single"/>
        </w:rPr>
        <w:t xml:space="preserve">Стоимость участия </w:t>
      </w:r>
    </w:p>
    <w:p w14:paraId="15CCE957" w14:textId="77777777" w:rsidR="00E51A2E" w:rsidRPr="00597443" w:rsidRDefault="00E51A2E" w:rsidP="00E51A2E">
      <w:pPr>
        <w:jc w:val="center"/>
        <w:rPr>
          <w:b/>
          <w:color w:val="000000" w:themeColor="text1"/>
          <w:sz w:val="20"/>
          <w:szCs w:val="28"/>
        </w:rPr>
      </w:pPr>
    </w:p>
    <w:tbl>
      <w:tblPr>
        <w:tblStyle w:val="ad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E51A2E" w:rsidRPr="00597443" w14:paraId="3893321F" w14:textId="77777777" w:rsidTr="007E3A0A">
        <w:trPr>
          <w:trHeight w:val="212"/>
        </w:trPr>
        <w:tc>
          <w:tcPr>
            <w:tcW w:w="6097" w:type="dxa"/>
            <w:vAlign w:val="center"/>
          </w:tcPr>
          <w:p w14:paraId="7120757C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14:paraId="05480FCF" w14:textId="1AEF044E" w:rsidR="00E51A2E" w:rsidRPr="00907B75" w:rsidRDefault="00941607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5100</w:t>
            </w:r>
            <w:r w:rsidR="00DD2109">
              <w:rPr>
                <w:b/>
                <w:color w:val="0F243E" w:themeColor="text2" w:themeShade="80"/>
                <w:sz w:val="20"/>
              </w:rPr>
              <w:t xml:space="preserve"> (с обедом)</w:t>
            </w:r>
          </w:p>
        </w:tc>
      </w:tr>
      <w:tr w:rsidR="00E51A2E" w:rsidRPr="00597443" w14:paraId="22662F6C" w14:textId="77777777" w:rsidTr="007E3A0A">
        <w:trPr>
          <w:trHeight w:val="307"/>
        </w:trPr>
        <w:tc>
          <w:tcPr>
            <w:tcW w:w="6097" w:type="dxa"/>
            <w:vAlign w:val="center"/>
          </w:tcPr>
          <w:p w14:paraId="01F69267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14:paraId="6B5B234D" w14:textId="1B3D54E8" w:rsidR="00E51A2E" w:rsidRPr="00907B75" w:rsidRDefault="00DD2109" w:rsidP="00DD2109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7</w:t>
            </w:r>
            <w:r w:rsidR="00836E75" w:rsidRPr="00836E75">
              <w:rPr>
                <w:b/>
                <w:color w:val="0F243E" w:themeColor="text2" w:themeShade="80"/>
                <w:sz w:val="20"/>
              </w:rPr>
              <w:t xml:space="preserve"> </w:t>
            </w:r>
            <w:r w:rsidR="00836E75">
              <w:rPr>
                <w:b/>
                <w:color w:val="0F243E" w:themeColor="text2" w:themeShade="80"/>
                <w:sz w:val="20"/>
              </w:rPr>
              <w:t>9</w:t>
            </w:r>
            <w:r w:rsidR="00836E75" w:rsidRPr="00836E75">
              <w:rPr>
                <w:b/>
                <w:color w:val="0F243E" w:themeColor="text2" w:themeShade="80"/>
                <w:sz w:val="20"/>
              </w:rPr>
              <w:t>00 руб. (</w:t>
            </w:r>
            <w:r>
              <w:rPr>
                <w:b/>
                <w:color w:val="0F243E" w:themeColor="text2" w:themeShade="80"/>
                <w:sz w:val="20"/>
              </w:rPr>
              <w:t>с обедом на всех слушателей)</w:t>
            </w:r>
          </w:p>
        </w:tc>
      </w:tr>
      <w:tr w:rsidR="00E51A2E" w:rsidRPr="00597443" w14:paraId="583FCFBF" w14:textId="77777777" w:rsidTr="007E3A0A">
        <w:trPr>
          <w:trHeight w:val="307"/>
        </w:trPr>
        <w:tc>
          <w:tcPr>
            <w:tcW w:w="6097" w:type="dxa"/>
            <w:vAlign w:val="center"/>
          </w:tcPr>
          <w:p w14:paraId="453602BF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14:paraId="44144249" w14:textId="491922F9" w:rsidR="00E51A2E" w:rsidRPr="00907B75" w:rsidRDefault="00DD2109" w:rsidP="00836E75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9200</w:t>
            </w:r>
            <w:r w:rsidR="00836E75" w:rsidRPr="00836E75">
              <w:rPr>
                <w:b/>
                <w:color w:val="0F243E" w:themeColor="text2" w:themeShade="80"/>
                <w:sz w:val="20"/>
              </w:rPr>
              <w:t xml:space="preserve"> руб. </w:t>
            </w:r>
            <w:r w:rsidRPr="00836E75">
              <w:rPr>
                <w:b/>
                <w:color w:val="0F243E" w:themeColor="text2" w:themeShade="80"/>
                <w:sz w:val="20"/>
              </w:rPr>
              <w:t>(</w:t>
            </w:r>
            <w:r>
              <w:rPr>
                <w:b/>
                <w:color w:val="0F243E" w:themeColor="text2" w:themeShade="80"/>
                <w:sz w:val="20"/>
              </w:rPr>
              <w:t>с обедом на всех слушателей)</w:t>
            </w:r>
          </w:p>
        </w:tc>
      </w:tr>
      <w:tr w:rsidR="00E51A2E" w:rsidRPr="00597443" w14:paraId="1D6481E6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11BB70" w14:textId="77777777" w:rsidR="00E51A2E" w:rsidRPr="00907B75" w:rsidRDefault="00E51A2E" w:rsidP="007E3A0A">
            <w:pPr>
              <w:ind w:left="426"/>
              <w:jc w:val="both"/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14:paraId="7A50847C" w14:textId="543EC569" w:rsidR="00E51A2E" w:rsidRPr="00907B75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b/>
                <w:color w:val="0F243E" w:themeColor="text2" w:themeShade="80"/>
                <w:sz w:val="20"/>
              </w:rPr>
              <w:t>6 000 руб.</w:t>
            </w:r>
            <w:r w:rsidR="00DD2109">
              <w:rPr>
                <w:b/>
                <w:color w:val="0F243E" w:themeColor="text2" w:themeShade="80"/>
                <w:sz w:val="20"/>
              </w:rPr>
              <w:t xml:space="preserve"> (с обедом)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F7903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1E43A3C3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33D80808" w14:textId="1281D065" w:rsidR="00E51A2E" w:rsidRPr="004E76A6" w:rsidRDefault="00E51A2E" w:rsidP="0024247B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>
              <w:rPr>
                <w:color w:val="0F243E" w:themeColor="text2" w:themeShade="80"/>
                <w:sz w:val="20"/>
              </w:rPr>
              <w:t xml:space="preserve">онлайн-участие </w:t>
            </w:r>
          </w:p>
        </w:tc>
        <w:tc>
          <w:tcPr>
            <w:tcW w:w="3892" w:type="dxa"/>
            <w:tcBorders>
              <w:right w:val="nil"/>
            </w:tcBorders>
          </w:tcPr>
          <w:p w14:paraId="01B8EC95" w14:textId="7F3C6A99" w:rsidR="00E51A2E" w:rsidRPr="00907B75" w:rsidRDefault="00C77D83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2 6</w:t>
            </w:r>
            <w:r w:rsidR="00E51A2E">
              <w:rPr>
                <w:b/>
                <w:color w:val="0F243E" w:themeColor="text2" w:themeShade="80"/>
                <w:sz w:val="20"/>
              </w:rPr>
              <w:t>00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C328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05A77C51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EE2C3C" w14:textId="77777777" w:rsidR="00E51A2E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>
              <w:rPr>
                <w:color w:val="0F243E" w:themeColor="text2" w:themeShade="80"/>
                <w:sz w:val="20"/>
              </w:rPr>
              <w:t>запись</w:t>
            </w:r>
          </w:p>
        </w:tc>
        <w:tc>
          <w:tcPr>
            <w:tcW w:w="3892" w:type="dxa"/>
            <w:tcBorders>
              <w:right w:val="nil"/>
            </w:tcBorders>
          </w:tcPr>
          <w:p w14:paraId="0323BCB6" w14:textId="3E6BF467" w:rsidR="00E51A2E" w:rsidRDefault="00E51A2E" w:rsidP="00DD2109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</w:t>
            </w:r>
            <w:r w:rsidR="00DD2109">
              <w:rPr>
                <w:b/>
                <w:color w:val="0F243E" w:themeColor="text2" w:themeShade="80"/>
                <w:sz w:val="20"/>
              </w:rPr>
              <w:t>1</w:t>
            </w:r>
            <w:r>
              <w:rPr>
                <w:b/>
                <w:color w:val="0F243E" w:themeColor="text2" w:themeShade="80"/>
                <w:sz w:val="20"/>
              </w:rPr>
              <w:t>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0B4D7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</w:tbl>
    <w:p w14:paraId="2F07B92C" w14:textId="77777777" w:rsidR="00C77D83" w:rsidRDefault="00C77D83" w:rsidP="00E51A2E">
      <w:pPr>
        <w:jc w:val="center"/>
        <w:rPr>
          <w:color w:val="17365D" w:themeColor="text2" w:themeShade="BF"/>
        </w:rPr>
      </w:pPr>
    </w:p>
    <w:p w14:paraId="1709B675" w14:textId="6AA97660" w:rsidR="00E51A2E" w:rsidRDefault="00E51A2E" w:rsidP="00E51A2E">
      <w:pPr>
        <w:jc w:val="center"/>
        <w:rPr>
          <w:b/>
          <w:color w:val="17365D" w:themeColor="text2" w:themeShade="BF"/>
        </w:rPr>
      </w:pPr>
      <w:r w:rsidRPr="00907B75">
        <w:rPr>
          <w:color w:val="17365D" w:themeColor="text2" w:themeShade="BF"/>
        </w:rPr>
        <w:t>В стоимость участия входит</w:t>
      </w:r>
      <w:r w:rsidRPr="00907B75">
        <w:rPr>
          <w:b/>
          <w:color w:val="17365D" w:themeColor="text2" w:themeShade="BF"/>
        </w:rPr>
        <w:t xml:space="preserve"> обед, раздаточный материал и комплект для записи.</w:t>
      </w:r>
      <w:bookmarkStart w:id="0" w:name="_GoBack"/>
      <w:bookmarkEnd w:id="0"/>
    </w:p>
    <w:p w14:paraId="67EA3171" w14:textId="77777777" w:rsidR="00C77D83" w:rsidRDefault="00C77D83" w:rsidP="00C77D83">
      <w:pPr>
        <w:pStyle w:val="a3"/>
        <w:jc w:val="center"/>
        <w:rPr>
          <w:rFonts w:cstheme="minorHAnsi"/>
          <w:b/>
          <w:color w:val="002060"/>
        </w:rPr>
      </w:pPr>
    </w:p>
    <w:p w14:paraId="76CDF631" w14:textId="77777777" w:rsidR="00C77D83" w:rsidRPr="00004EE4" w:rsidRDefault="00C77D83" w:rsidP="00C77D83">
      <w:pPr>
        <w:pStyle w:val="a3"/>
        <w:jc w:val="center"/>
        <w:rPr>
          <w:b/>
          <w:color w:val="FF0000"/>
        </w:rPr>
      </w:pPr>
      <w:r w:rsidRPr="00004EE4">
        <w:rPr>
          <w:rFonts w:cstheme="minorHAnsi"/>
          <w:b/>
          <w:color w:val="FF0000"/>
        </w:rPr>
        <w:t xml:space="preserve">При очном участии необходимо наличие </w:t>
      </w:r>
      <w:proofErr w:type="spellStart"/>
      <w:r w:rsidRPr="00004EE4">
        <w:rPr>
          <w:rFonts w:cstheme="minorHAnsi"/>
          <w:b/>
          <w:color w:val="FF0000"/>
          <w:lang w:val="en-US"/>
        </w:rPr>
        <w:t>Qr</w:t>
      </w:r>
      <w:proofErr w:type="spellEnd"/>
      <w:r w:rsidRPr="00004EE4">
        <w:rPr>
          <w:rFonts w:cstheme="minorHAnsi"/>
          <w:b/>
          <w:color w:val="FF0000"/>
        </w:rPr>
        <w:t xml:space="preserve">-кода или справки, подтверждающей наличие медицинского отвода от вакцинации против </w:t>
      </w:r>
      <w:proofErr w:type="spellStart"/>
      <w:r w:rsidRPr="00004EE4">
        <w:rPr>
          <w:rFonts w:cstheme="minorHAnsi"/>
          <w:b/>
          <w:color w:val="FF0000"/>
        </w:rPr>
        <w:t>коронавирусной</w:t>
      </w:r>
      <w:proofErr w:type="spellEnd"/>
      <w:r w:rsidRPr="00004EE4">
        <w:rPr>
          <w:rFonts w:cstheme="minorHAnsi"/>
          <w:b/>
          <w:color w:val="FF0000"/>
        </w:rPr>
        <w:t xml:space="preserve"> инфекции.</w:t>
      </w:r>
    </w:p>
    <w:p w14:paraId="56578674" w14:textId="77777777" w:rsidR="00C77D83" w:rsidRPr="00C77D83" w:rsidRDefault="00C77D83" w:rsidP="00E51A2E">
      <w:pPr>
        <w:jc w:val="center"/>
        <w:rPr>
          <w:b/>
          <w:color w:val="17365D" w:themeColor="text2" w:themeShade="BF"/>
          <w:sz w:val="22"/>
          <w:szCs w:val="22"/>
        </w:rPr>
      </w:pPr>
    </w:p>
    <w:p w14:paraId="3FCB592C" w14:textId="50E35603" w:rsidR="00E51A2E" w:rsidRPr="00004EE4" w:rsidRDefault="00E51A2E" w:rsidP="00E51A2E">
      <w:pPr>
        <w:jc w:val="center"/>
        <w:rPr>
          <w:color w:val="244061" w:themeColor="accent1" w:themeShade="80"/>
        </w:rPr>
      </w:pPr>
      <w:r w:rsidRPr="00C77D83">
        <w:rPr>
          <w:color w:val="244061" w:themeColor="accent1" w:themeShade="80"/>
        </w:rPr>
        <w:t xml:space="preserve">Подробности уточняйте по тел. </w:t>
      </w:r>
      <w:r w:rsidR="00E43885" w:rsidRPr="00C77D83">
        <w:rPr>
          <w:color w:val="244061" w:themeColor="accent1" w:themeShade="80"/>
        </w:rPr>
        <w:t>+</w:t>
      </w:r>
      <w:r w:rsidR="00004EE4">
        <w:rPr>
          <w:color w:val="244061" w:themeColor="accent1" w:themeShade="80"/>
        </w:rPr>
        <w:t>79</w:t>
      </w:r>
      <w:r w:rsidR="00004EE4" w:rsidRPr="00004EE4">
        <w:rPr>
          <w:color w:val="244061" w:themeColor="accent1" w:themeShade="80"/>
        </w:rPr>
        <w:t>112803812</w:t>
      </w:r>
      <w:r w:rsidR="00004EE4">
        <w:rPr>
          <w:color w:val="244061" w:themeColor="accent1" w:themeShade="80"/>
        </w:rPr>
        <w:t xml:space="preserve"> Ольга</w:t>
      </w:r>
    </w:p>
    <w:p w14:paraId="23792AF0" w14:textId="54A29A52" w:rsidR="00044BD1" w:rsidRPr="00C77D83" w:rsidRDefault="00044BD1" w:rsidP="00E51A2E">
      <w:pPr>
        <w:jc w:val="center"/>
        <w:rPr>
          <w:color w:val="244061" w:themeColor="accent1" w:themeShade="80"/>
        </w:rPr>
      </w:pPr>
      <w:r w:rsidRPr="00C77D83">
        <w:rPr>
          <w:color w:val="244061" w:themeColor="accent1" w:themeShade="80"/>
        </w:rPr>
        <w:t xml:space="preserve">или по электронной почте </w:t>
      </w:r>
      <w:hyperlink r:id="rId7" w:history="1">
        <w:r w:rsidR="00004EE4" w:rsidRPr="002F016F">
          <w:rPr>
            <w:rStyle w:val="ae"/>
            <w:lang w:val="en-US"/>
          </w:rPr>
          <w:t>nevskaya</w:t>
        </w:r>
        <w:r w:rsidR="00004EE4" w:rsidRPr="00004EE4">
          <w:rPr>
            <w:rStyle w:val="ae"/>
          </w:rPr>
          <w:t>_</w:t>
        </w:r>
        <w:r w:rsidR="00004EE4" w:rsidRPr="002F016F">
          <w:rPr>
            <w:rStyle w:val="ae"/>
            <w:lang w:val="en-US"/>
          </w:rPr>
          <w:t>o</w:t>
        </w:r>
        <w:r w:rsidR="00004EE4" w:rsidRPr="002F016F">
          <w:rPr>
            <w:rStyle w:val="ae"/>
          </w:rPr>
          <w:t>@spb.tsk.ru</w:t>
        </w:r>
      </w:hyperlink>
      <w:r w:rsidR="00C77D83">
        <w:rPr>
          <w:color w:val="244061" w:themeColor="accent1" w:themeShade="80"/>
        </w:rPr>
        <w:t xml:space="preserve"> </w:t>
      </w:r>
    </w:p>
    <w:p w14:paraId="7728CCBB" w14:textId="77777777" w:rsidR="00E51A2E" w:rsidRPr="00597443" w:rsidRDefault="00E51A2E" w:rsidP="00E51A2E">
      <w:pPr>
        <w:jc w:val="center"/>
        <w:rPr>
          <w:sz w:val="20"/>
        </w:rPr>
      </w:pPr>
    </w:p>
    <w:p w14:paraId="73431818" w14:textId="77777777" w:rsidR="00E51A2E" w:rsidRPr="00907B75" w:rsidRDefault="00E51A2E" w:rsidP="00E51A2E">
      <w:pPr>
        <w:pStyle w:val="a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244061" w:themeColor="accent1" w:themeShade="80"/>
          <w:sz w:val="20"/>
          <w:lang w:eastAsia="ru-RU"/>
        </w:rPr>
      </w:pPr>
      <w:r w:rsidRPr="00907B75">
        <w:rPr>
          <w:rFonts w:eastAsia="Times New Roman" w:cs="Times New Roman"/>
          <w:b/>
          <w:color w:val="244061" w:themeColor="accent1" w:themeShade="80"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14:paraId="70003BCA" w14:textId="77777777" w:rsidR="00E51A2E" w:rsidRPr="00597443" w:rsidRDefault="00E51A2E" w:rsidP="00E51A2E">
      <w:pPr>
        <w:pStyle w:val="aa"/>
        <w:spacing w:after="0" w:line="240" w:lineRule="auto"/>
        <w:ind w:left="771"/>
        <w:rPr>
          <w:rFonts w:eastAsia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51A2E" w:rsidRPr="00597443" w14:paraId="04588CF4" w14:textId="77777777" w:rsidTr="007E3A0A">
        <w:trPr>
          <w:trHeight w:val="294"/>
        </w:trPr>
        <w:tc>
          <w:tcPr>
            <w:tcW w:w="10314" w:type="dxa"/>
            <w:shd w:val="clear" w:color="auto" w:fill="auto"/>
          </w:tcPr>
          <w:p w14:paraId="5402A3F3" w14:textId="77777777" w:rsidR="00E51A2E" w:rsidRPr="00907B75" w:rsidRDefault="00E51A2E" w:rsidP="007E3A0A">
            <w:pPr>
              <w:ind w:firstLine="34"/>
              <w:rPr>
                <w:sz w:val="20"/>
                <w:szCs w:val="20"/>
              </w:rPr>
            </w:pP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Аттестованным бухгалтерам, не имеющим задолженности по оплате взносов, выдается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сертификат на 10 часов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системы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  <w:lang w:val="en-US"/>
              </w:rPr>
              <w:t>UCPA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в зачет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40-часовой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программы повышения квалификации.</w:t>
            </w:r>
          </w:p>
        </w:tc>
      </w:tr>
    </w:tbl>
    <w:p w14:paraId="542420CA" w14:textId="77777777" w:rsidR="00E51A2E" w:rsidRDefault="00E51A2E" w:rsidP="00E51A2E">
      <w:pPr>
        <w:rPr>
          <w:color w:val="000000" w:themeColor="text1"/>
          <w:sz w:val="18"/>
          <w:szCs w:val="20"/>
        </w:rPr>
      </w:pPr>
    </w:p>
    <w:p w14:paraId="46CD0C9B" w14:textId="77777777" w:rsidR="00E51A2E" w:rsidRPr="00635A0B" w:rsidRDefault="00E51A2E" w:rsidP="00635A0B">
      <w:pPr>
        <w:rPr>
          <w:b/>
          <w:sz w:val="18"/>
          <w:szCs w:val="18"/>
        </w:rPr>
      </w:pPr>
    </w:p>
    <w:sectPr w:rsidR="00E51A2E" w:rsidRPr="00635A0B" w:rsidSect="00635A0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B1"/>
    <w:multiLevelType w:val="hybridMultilevel"/>
    <w:tmpl w:val="52E233E4"/>
    <w:lvl w:ilvl="0" w:tplc="FCEA5D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D25AB"/>
    <w:multiLevelType w:val="hybridMultilevel"/>
    <w:tmpl w:val="998AB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67D7429"/>
    <w:multiLevelType w:val="hybridMultilevel"/>
    <w:tmpl w:val="C4DCB644"/>
    <w:lvl w:ilvl="0" w:tplc="E8EA118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10B15"/>
    <w:multiLevelType w:val="hybridMultilevel"/>
    <w:tmpl w:val="E54667E6"/>
    <w:lvl w:ilvl="0" w:tplc="B04A7D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391A"/>
    <w:multiLevelType w:val="hybridMultilevel"/>
    <w:tmpl w:val="D432F8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A4799"/>
    <w:multiLevelType w:val="hybridMultilevel"/>
    <w:tmpl w:val="7E38A420"/>
    <w:lvl w:ilvl="0" w:tplc="17C2D03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05A31"/>
    <w:multiLevelType w:val="hybridMultilevel"/>
    <w:tmpl w:val="90B01B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1305E"/>
    <w:multiLevelType w:val="hybridMultilevel"/>
    <w:tmpl w:val="8F729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12D79"/>
    <w:multiLevelType w:val="hybridMultilevel"/>
    <w:tmpl w:val="5EF8E1F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08D4F82"/>
    <w:multiLevelType w:val="hybridMultilevel"/>
    <w:tmpl w:val="429475F6"/>
    <w:lvl w:ilvl="0" w:tplc="0888C7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21784"/>
    <w:multiLevelType w:val="hybridMultilevel"/>
    <w:tmpl w:val="A33A994A"/>
    <w:lvl w:ilvl="0" w:tplc="9F74C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77479"/>
    <w:multiLevelType w:val="hybridMultilevel"/>
    <w:tmpl w:val="1A52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036B"/>
    <w:multiLevelType w:val="hybridMultilevel"/>
    <w:tmpl w:val="491C46FC"/>
    <w:lvl w:ilvl="0" w:tplc="F098B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8AE0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70264"/>
    <w:multiLevelType w:val="hybridMultilevel"/>
    <w:tmpl w:val="D3A02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57AF4"/>
    <w:multiLevelType w:val="hybridMultilevel"/>
    <w:tmpl w:val="82C4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0F2D"/>
    <w:multiLevelType w:val="hybridMultilevel"/>
    <w:tmpl w:val="D51A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C5AB8"/>
    <w:multiLevelType w:val="hybridMultilevel"/>
    <w:tmpl w:val="06C289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3A05BEB"/>
    <w:multiLevelType w:val="hybridMultilevel"/>
    <w:tmpl w:val="2694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50507"/>
    <w:multiLevelType w:val="hybridMultilevel"/>
    <w:tmpl w:val="21FE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11F01"/>
    <w:multiLevelType w:val="hybridMultilevel"/>
    <w:tmpl w:val="2A5E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A7F92"/>
    <w:multiLevelType w:val="hybridMultilevel"/>
    <w:tmpl w:val="044AEFF4"/>
    <w:lvl w:ilvl="0" w:tplc="FADA44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E7698"/>
    <w:multiLevelType w:val="hybridMultilevel"/>
    <w:tmpl w:val="FF1C5A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61539"/>
    <w:multiLevelType w:val="hybridMultilevel"/>
    <w:tmpl w:val="9FEEE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B1C6E"/>
    <w:multiLevelType w:val="hybridMultilevel"/>
    <w:tmpl w:val="982C3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D55F4"/>
    <w:multiLevelType w:val="hybridMultilevel"/>
    <w:tmpl w:val="5016D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5A3C"/>
    <w:multiLevelType w:val="hybridMultilevel"/>
    <w:tmpl w:val="10BA188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16F0FF7"/>
    <w:multiLevelType w:val="hybridMultilevel"/>
    <w:tmpl w:val="5D1A2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04750"/>
    <w:multiLevelType w:val="hybridMultilevel"/>
    <w:tmpl w:val="06D21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F2FA3"/>
    <w:multiLevelType w:val="hybridMultilevel"/>
    <w:tmpl w:val="F4DE7440"/>
    <w:lvl w:ilvl="0" w:tplc="9A7E60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6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29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25"/>
  </w:num>
  <w:num w:numId="15">
    <w:abstractNumId w:val="21"/>
  </w:num>
  <w:num w:numId="16">
    <w:abstractNumId w:val="28"/>
  </w:num>
  <w:num w:numId="17">
    <w:abstractNumId w:val="22"/>
  </w:num>
  <w:num w:numId="18">
    <w:abstractNumId w:val="23"/>
  </w:num>
  <w:num w:numId="19">
    <w:abstractNumId w:val="12"/>
  </w:num>
  <w:num w:numId="20">
    <w:abstractNumId w:val="9"/>
  </w:num>
  <w:num w:numId="21">
    <w:abstractNumId w:val="11"/>
  </w:num>
  <w:num w:numId="22">
    <w:abstractNumId w:val="14"/>
  </w:num>
  <w:num w:numId="23">
    <w:abstractNumId w:val="24"/>
  </w:num>
  <w:num w:numId="24">
    <w:abstractNumId w:val="26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4"/>
    <w:rsid w:val="00001203"/>
    <w:rsid w:val="00004EE4"/>
    <w:rsid w:val="00044BD1"/>
    <w:rsid w:val="00071868"/>
    <w:rsid w:val="000821D1"/>
    <w:rsid w:val="001C6A9C"/>
    <w:rsid w:val="001F0878"/>
    <w:rsid w:val="0020276A"/>
    <w:rsid w:val="0024247B"/>
    <w:rsid w:val="0026156C"/>
    <w:rsid w:val="00293A88"/>
    <w:rsid w:val="002E2594"/>
    <w:rsid w:val="003A060B"/>
    <w:rsid w:val="00423F93"/>
    <w:rsid w:val="00454173"/>
    <w:rsid w:val="00477273"/>
    <w:rsid w:val="00481FEF"/>
    <w:rsid w:val="00516E25"/>
    <w:rsid w:val="00565080"/>
    <w:rsid w:val="00635A0B"/>
    <w:rsid w:val="00636E81"/>
    <w:rsid w:val="00644FD1"/>
    <w:rsid w:val="00647F96"/>
    <w:rsid w:val="006D38FE"/>
    <w:rsid w:val="006F17C8"/>
    <w:rsid w:val="006F2903"/>
    <w:rsid w:val="00723DBB"/>
    <w:rsid w:val="00760F7C"/>
    <w:rsid w:val="00780F17"/>
    <w:rsid w:val="007C6B40"/>
    <w:rsid w:val="00836E75"/>
    <w:rsid w:val="008703D5"/>
    <w:rsid w:val="008D6379"/>
    <w:rsid w:val="00927C5B"/>
    <w:rsid w:val="00941607"/>
    <w:rsid w:val="009421D5"/>
    <w:rsid w:val="009724F2"/>
    <w:rsid w:val="00AA0696"/>
    <w:rsid w:val="00AC5DD8"/>
    <w:rsid w:val="00B44B54"/>
    <w:rsid w:val="00BD46AC"/>
    <w:rsid w:val="00C3218F"/>
    <w:rsid w:val="00C77D83"/>
    <w:rsid w:val="00CC0F60"/>
    <w:rsid w:val="00D045CC"/>
    <w:rsid w:val="00DB5B5E"/>
    <w:rsid w:val="00DD2109"/>
    <w:rsid w:val="00DD310A"/>
    <w:rsid w:val="00E43885"/>
    <w:rsid w:val="00E51A2E"/>
    <w:rsid w:val="00EA7565"/>
    <w:rsid w:val="00EF6180"/>
    <w:rsid w:val="00F32FBB"/>
    <w:rsid w:val="00F70C41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4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77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vskaya_o@spb.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Невская Ольга Игоревна</cp:lastModifiedBy>
  <cp:revision>7</cp:revision>
  <cp:lastPrinted>2022-01-24T14:24:00Z</cp:lastPrinted>
  <dcterms:created xsi:type="dcterms:W3CDTF">2021-11-18T09:10:00Z</dcterms:created>
  <dcterms:modified xsi:type="dcterms:W3CDTF">2022-01-27T08:26:00Z</dcterms:modified>
</cp:coreProperties>
</file>