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A061" w14:textId="001AF5B7" w:rsidR="00635A0B" w:rsidRDefault="00635A0B" w:rsidP="00635A0B">
      <w:pPr>
        <w:pStyle w:val="a3"/>
        <w:rPr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1AEA3F" wp14:editId="7460810A">
            <wp:simplePos x="0" y="0"/>
            <wp:positionH relativeFrom="column">
              <wp:posOffset>95250</wp:posOffset>
            </wp:positionH>
            <wp:positionV relativeFrom="paragraph">
              <wp:posOffset>-95250</wp:posOffset>
            </wp:positionV>
            <wp:extent cx="6645910" cy="1001395"/>
            <wp:effectExtent l="0" t="0" r="2540" b="8255"/>
            <wp:wrapTight wrapText="bothSides">
              <wp:wrapPolygon edited="0">
                <wp:start x="0" y="0"/>
                <wp:lineTo x="0" y="21367"/>
                <wp:lineTo x="21546" y="21367"/>
                <wp:lineTo x="215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ком предл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036B8" w14:textId="77777777" w:rsidR="00635A0B" w:rsidRPr="006F2903" w:rsidRDefault="00635A0B" w:rsidP="00635A0B">
      <w:pPr>
        <w:jc w:val="center"/>
        <w:rPr>
          <w:b/>
          <w:i/>
          <w:color w:val="5F497A" w:themeColor="accent4" w:themeShade="BF"/>
          <w:sz w:val="28"/>
          <w:szCs w:val="28"/>
        </w:rPr>
      </w:pPr>
      <w:r w:rsidRPr="006F2903">
        <w:rPr>
          <w:b/>
          <w:i/>
          <w:color w:val="5F497A" w:themeColor="accent4" w:themeShade="BF"/>
          <w:sz w:val="28"/>
          <w:szCs w:val="28"/>
        </w:rPr>
        <w:t>Уважаемые партнеры!</w:t>
      </w:r>
    </w:p>
    <w:p w14:paraId="22D01A7F" w14:textId="77777777" w:rsidR="00635A0B" w:rsidRPr="006F2903" w:rsidRDefault="00635A0B" w:rsidP="00635A0B">
      <w:pPr>
        <w:jc w:val="center"/>
        <w:rPr>
          <w:b/>
          <w:i/>
          <w:color w:val="5F497A" w:themeColor="accent4" w:themeShade="BF"/>
          <w:sz w:val="28"/>
          <w:szCs w:val="28"/>
        </w:rPr>
      </w:pPr>
      <w:r w:rsidRPr="006F2903">
        <w:rPr>
          <w:b/>
          <w:i/>
          <w:color w:val="5F497A" w:themeColor="accent4" w:themeShade="BF"/>
          <w:sz w:val="28"/>
          <w:szCs w:val="28"/>
        </w:rPr>
        <w:t>Предлагаем Вам посетить  совместный семинар</w:t>
      </w:r>
    </w:p>
    <w:p w14:paraId="249531F6" w14:textId="77777777" w:rsidR="00635A0B" w:rsidRPr="006F2903" w:rsidRDefault="00635A0B" w:rsidP="00635A0B">
      <w:pPr>
        <w:contextualSpacing/>
        <w:jc w:val="center"/>
        <w:rPr>
          <w:b/>
          <w:i/>
          <w:color w:val="5F497A" w:themeColor="accent4" w:themeShade="BF"/>
          <w:sz w:val="28"/>
          <w:szCs w:val="28"/>
        </w:rPr>
      </w:pPr>
      <w:r w:rsidRPr="006F2903">
        <w:rPr>
          <w:b/>
          <w:i/>
          <w:color w:val="5F497A" w:themeColor="accent4" w:themeShade="BF"/>
          <w:sz w:val="28"/>
          <w:szCs w:val="28"/>
        </w:rPr>
        <w:t>ООО «Ваше Право Консультант Плюс» и</w:t>
      </w:r>
      <w:r w:rsidRPr="006F2903">
        <w:rPr>
          <w:b/>
          <w:color w:val="5F497A" w:themeColor="accent4" w:themeShade="BF"/>
          <w:sz w:val="28"/>
          <w:szCs w:val="28"/>
        </w:rPr>
        <w:t xml:space="preserve"> </w:t>
      </w:r>
      <w:r w:rsidRPr="006F2903">
        <w:rPr>
          <w:b/>
          <w:i/>
          <w:color w:val="5F497A" w:themeColor="accent4" w:themeShade="BF"/>
          <w:sz w:val="28"/>
          <w:szCs w:val="28"/>
        </w:rPr>
        <w:t>Палаты профессиональных бухгалтеров и аудиторов на тему:</w:t>
      </w:r>
    </w:p>
    <w:p w14:paraId="13174E13" w14:textId="77777777" w:rsidR="00635A0B" w:rsidRPr="00635A0B" w:rsidRDefault="00635A0B" w:rsidP="008703D5">
      <w:pPr>
        <w:pStyle w:val="a3"/>
        <w:rPr>
          <w:b/>
          <w:bCs/>
          <w:sz w:val="28"/>
          <w:szCs w:val="28"/>
        </w:rPr>
      </w:pPr>
    </w:p>
    <w:p w14:paraId="4CB73C7D" w14:textId="27B1FED3" w:rsidR="00B44B54" w:rsidRPr="006F2903" w:rsidRDefault="00635A0B" w:rsidP="006F2903">
      <w:pPr>
        <w:pStyle w:val="a3"/>
        <w:jc w:val="center"/>
        <w:rPr>
          <w:b/>
          <w:color w:val="984806" w:themeColor="accent6" w:themeShade="80"/>
          <w:sz w:val="30"/>
          <w:szCs w:val="30"/>
        </w:rPr>
      </w:pPr>
      <w:r w:rsidRPr="006F2903">
        <w:rPr>
          <w:b/>
          <w:bCs/>
          <w:color w:val="984806" w:themeColor="accent6" w:themeShade="80"/>
          <w:sz w:val="30"/>
          <w:szCs w:val="30"/>
        </w:rPr>
        <w:t>«</w:t>
      </w:r>
      <w:r w:rsidR="006F2903" w:rsidRPr="006F2903">
        <w:rPr>
          <w:b/>
          <w:bCs/>
          <w:color w:val="984806" w:themeColor="accent6" w:themeShade="80"/>
          <w:sz w:val="30"/>
          <w:szCs w:val="30"/>
        </w:rPr>
        <w:t>Бухгалтерская и налоговая отчетность за первое полугодие 2021 года</w:t>
      </w:r>
      <w:r w:rsidRPr="006F2903">
        <w:rPr>
          <w:b/>
          <w:color w:val="984806" w:themeColor="accent6" w:themeShade="80"/>
          <w:sz w:val="30"/>
          <w:szCs w:val="30"/>
        </w:rPr>
        <w:t>»</w:t>
      </w:r>
    </w:p>
    <w:p w14:paraId="2C9874A8" w14:textId="77777777" w:rsidR="00B44B54" w:rsidRDefault="00B44B54" w:rsidP="00B44B54"/>
    <w:p w14:paraId="5D1C55EE" w14:textId="74CA0341" w:rsidR="00635A0B" w:rsidRPr="00836E75" w:rsidRDefault="00635A0B" w:rsidP="00635A0B">
      <w:pPr>
        <w:contextualSpacing/>
        <w:rPr>
          <w:b/>
          <w:color w:val="984806" w:themeColor="accent6" w:themeShade="80"/>
          <w:sz w:val="26"/>
          <w:szCs w:val="26"/>
        </w:rPr>
      </w:pPr>
      <w:r w:rsidRPr="00836E75">
        <w:rPr>
          <w:b/>
          <w:color w:val="5F497A" w:themeColor="accent4" w:themeShade="BF"/>
          <w:sz w:val="26"/>
          <w:szCs w:val="26"/>
          <w:u w:val="single"/>
        </w:rPr>
        <w:t>Дата и время</w:t>
      </w:r>
      <w:r w:rsidRPr="00836E75">
        <w:rPr>
          <w:b/>
          <w:color w:val="5F497A" w:themeColor="accent4" w:themeShade="BF"/>
          <w:sz w:val="26"/>
          <w:szCs w:val="26"/>
        </w:rPr>
        <w:t xml:space="preserve">: </w:t>
      </w:r>
      <w:r w:rsidR="006F2903" w:rsidRPr="00836E75">
        <w:rPr>
          <w:b/>
          <w:color w:val="984806" w:themeColor="accent6" w:themeShade="80"/>
          <w:sz w:val="26"/>
          <w:szCs w:val="26"/>
        </w:rPr>
        <w:t>25</w:t>
      </w:r>
      <w:r w:rsidRPr="00836E75">
        <w:rPr>
          <w:b/>
          <w:color w:val="984806" w:themeColor="accent6" w:themeShade="80"/>
          <w:sz w:val="26"/>
          <w:szCs w:val="26"/>
        </w:rPr>
        <w:t xml:space="preserve"> </w:t>
      </w:r>
      <w:r w:rsidR="006F2903" w:rsidRPr="00836E75">
        <w:rPr>
          <w:b/>
          <w:color w:val="984806" w:themeColor="accent6" w:themeShade="80"/>
          <w:sz w:val="26"/>
          <w:szCs w:val="26"/>
        </w:rPr>
        <w:t>июня</w:t>
      </w:r>
      <w:r w:rsidRPr="00836E75">
        <w:rPr>
          <w:b/>
          <w:color w:val="984806" w:themeColor="accent6" w:themeShade="80"/>
          <w:sz w:val="26"/>
          <w:szCs w:val="26"/>
        </w:rPr>
        <w:t xml:space="preserve"> (</w:t>
      </w:r>
      <w:r w:rsidR="006F2903" w:rsidRPr="00836E75">
        <w:rPr>
          <w:b/>
          <w:color w:val="984806" w:themeColor="accent6" w:themeShade="80"/>
          <w:sz w:val="26"/>
          <w:szCs w:val="26"/>
        </w:rPr>
        <w:t>пятница</w:t>
      </w:r>
      <w:r w:rsidRPr="00836E75">
        <w:rPr>
          <w:b/>
          <w:color w:val="984806" w:themeColor="accent6" w:themeShade="80"/>
          <w:sz w:val="26"/>
          <w:szCs w:val="26"/>
        </w:rPr>
        <w:t>) 10:00-17:00</w:t>
      </w:r>
    </w:p>
    <w:p w14:paraId="602BADF8" w14:textId="77777777" w:rsidR="00E51A2E" w:rsidRPr="00836E75" w:rsidRDefault="00E51A2E" w:rsidP="00635A0B">
      <w:pPr>
        <w:contextualSpacing/>
        <w:rPr>
          <w:b/>
          <w:color w:val="17365D" w:themeColor="text2" w:themeShade="BF"/>
          <w:sz w:val="26"/>
          <w:szCs w:val="26"/>
        </w:rPr>
      </w:pPr>
    </w:p>
    <w:p w14:paraId="23196C45" w14:textId="536DC97E" w:rsidR="00635A0B" w:rsidRPr="00836E75" w:rsidRDefault="00635A0B" w:rsidP="00635A0B">
      <w:pPr>
        <w:shd w:val="clear" w:color="auto" w:fill="FFFFFF"/>
        <w:jc w:val="both"/>
        <w:rPr>
          <w:color w:val="244061" w:themeColor="accent1" w:themeShade="80"/>
          <w:sz w:val="26"/>
          <w:szCs w:val="26"/>
        </w:rPr>
      </w:pPr>
      <w:r w:rsidRPr="00836E75">
        <w:rPr>
          <w:b/>
          <w:color w:val="5F497A" w:themeColor="accent4" w:themeShade="BF"/>
          <w:sz w:val="26"/>
          <w:szCs w:val="26"/>
        </w:rPr>
        <w:t>Лектор</w:t>
      </w:r>
      <w:r w:rsidRPr="00836E75">
        <w:rPr>
          <w:color w:val="000000" w:themeColor="text1"/>
          <w:sz w:val="26"/>
          <w:szCs w:val="26"/>
        </w:rPr>
        <w:t xml:space="preserve">: </w:t>
      </w:r>
      <w:r w:rsidR="00836E75" w:rsidRPr="00836E75">
        <w:rPr>
          <w:b/>
          <w:color w:val="984806" w:themeColor="accent6" w:themeShade="80"/>
          <w:sz w:val="26"/>
          <w:szCs w:val="26"/>
        </w:rPr>
        <w:t>Куликов Алексей Александрович</w:t>
      </w:r>
      <w:r w:rsidR="00836E75" w:rsidRPr="00836E75">
        <w:rPr>
          <w:color w:val="244061" w:themeColor="accent1" w:themeShade="80"/>
          <w:sz w:val="26"/>
          <w:szCs w:val="26"/>
        </w:rPr>
        <w:t xml:space="preserve"> - управляющий партнер ООО «Агентство Налоговых Поверенных», налоговый консультант при «Палате налоговых консультантов Северо-Запада». Лауреат первого Всероссийского конкурса «Лектор года» (TOP-20).</w:t>
      </w:r>
    </w:p>
    <w:p w14:paraId="06BDF92F" w14:textId="77777777" w:rsidR="00E51A2E" w:rsidRPr="00836E75" w:rsidRDefault="00E51A2E" w:rsidP="00635A0B">
      <w:pPr>
        <w:shd w:val="clear" w:color="auto" w:fill="FFFFFF"/>
        <w:jc w:val="both"/>
        <w:rPr>
          <w:color w:val="17365D" w:themeColor="text2" w:themeShade="BF"/>
          <w:sz w:val="26"/>
          <w:szCs w:val="26"/>
        </w:rPr>
      </w:pPr>
    </w:p>
    <w:p w14:paraId="4996672A" w14:textId="77777777" w:rsidR="00635A0B" w:rsidRPr="00836E75" w:rsidRDefault="00635A0B" w:rsidP="00635A0B">
      <w:pPr>
        <w:jc w:val="both"/>
        <w:rPr>
          <w:color w:val="17365D" w:themeColor="text2" w:themeShade="BF"/>
          <w:sz w:val="26"/>
          <w:szCs w:val="26"/>
        </w:rPr>
      </w:pPr>
      <w:r w:rsidRPr="00836E75">
        <w:rPr>
          <w:b/>
          <w:color w:val="5F497A" w:themeColor="accent4" w:themeShade="BF"/>
          <w:sz w:val="26"/>
          <w:szCs w:val="26"/>
          <w:u w:val="single"/>
        </w:rPr>
        <w:t>Место проведения</w:t>
      </w:r>
      <w:r w:rsidRPr="00836E75">
        <w:rPr>
          <w:b/>
          <w:color w:val="000000" w:themeColor="text1"/>
          <w:sz w:val="26"/>
          <w:szCs w:val="26"/>
        </w:rPr>
        <w:t>:</w:t>
      </w:r>
      <w:r w:rsidRPr="00836E75">
        <w:rPr>
          <w:color w:val="000000" w:themeColor="text1"/>
          <w:sz w:val="26"/>
          <w:szCs w:val="26"/>
        </w:rPr>
        <w:t xml:space="preserve"> </w:t>
      </w:r>
      <w:r w:rsidRPr="00836E75">
        <w:rPr>
          <w:color w:val="17365D" w:themeColor="text2" w:themeShade="BF"/>
          <w:sz w:val="26"/>
          <w:szCs w:val="26"/>
        </w:rPr>
        <w:t xml:space="preserve">г. Санкт-Петербург, </w:t>
      </w:r>
      <w:proofErr w:type="spellStart"/>
      <w:r w:rsidRPr="00836E75">
        <w:rPr>
          <w:color w:val="17365D" w:themeColor="text2" w:themeShade="BF"/>
          <w:sz w:val="26"/>
          <w:szCs w:val="26"/>
        </w:rPr>
        <w:t>Батайский</w:t>
      </w:r>
      <w:proofErr w:type="spellEnd"/>
      <w:r w:rsidRPr="00836E75">
        <w:rPr>
          <w:color w:val="17365D" w:themeColor="text2" w:themeShade="BF"/>
          <w:sz w:val="26"/>
          <w:szCs w:val="26"/>
        </w:rPr>
        <w:t xml:space="preserve"> пер. 3А, отель «</w:t>
      </w:r>
      <w:proofErr w:type="spellStart"/>
      <w:r w:rsidRPr="00836E75">
        <w:rPr>
          <w:color w:val="17365D" w:themeColor="text2" w:themeShade="BF"/>
          <w:sz w:val="26"/>
          <w:szCs w:val="26"/>
          <w:lang w:val="en-US"/>
        </w:rPr>
        <w:t>Sokos</w:t>
      </w:r>
      <w:proofErr w:type="spellEnd"/>
      <w:r w:rsidRPr="00836E75">
        <w:rPr>
          <w:color w:val="17365D" w:themeColor="text2" w:themeShade="BF"/>
          <w:sz w:val="26"/>
          <w:szCs w:val="26"/>
        </w:rPr>
        <w:t xml:space="preserve"> </w:t>
      </w:r>
      <w:r w:rsidRPr="00836E75">
        <w:rPr>
          <w:color w:val="17365D" w:themeColor="text2" w:themeShade="BF"/>
          <w:sz w:val="26"/>
          <w:szCs w:val="26"/>
          <w:lang w:val="en-US"/>
        </w:rPr>
        <w:t>Olympia</w:t>
      </w:r>
      <w:r w:rsidRPr="00836E75">
        <w:rPr>
          <w:color w:val="17365D" w:themeColor="text2" w:themeShade="BF"/>
          <w:sz w:val="26"/>
          <w:szCs w:val="26"/>
        </w:rPr>
        <w:t xml:space="preserve"> </w:t>
      </w:r>
      <w:r w:rsidRPr="00836E75">
        <w:rPr>
          <w:color w:val="17365D" w:themeColor="text2" w:themeShade="BF"/>
          <w:sz w:val="26"/>
          <w:szCs w:val="26"/>
          <w:lang w:val="en-US"/>
        </w:rPr>
        <w:t>Garden</w:t>
      </w:r>
      <w:r w:rsidRPr="00836E75">
        <w:rPr>
          <w:color w:val="17365D" w:themeColor="text2" w:themeShade="BF"/>
          <w:sz w:val="26"/>
          <w:szCs w:val="26"/>
        </w:rPr>
        <w:t>»</w:t>
      </w:r>
    </w:p>
    <w:p w14:paraId="699F577C" w14:textId="77777777" w:rsidR="00635A0B" w:rsidRPr="00836E75" w:rsidRDefault="00635A0B" w:rsidP="00635A0B">
      <w:pPr>
        <w:jc w:val="both"/>
        <w:rPr>
          <w:color w:val="17365D" w:themeColor="text2" w:themeShade="BF"/>
          <w:sz w:val="26"/>
          <w:szCs w:val="26"/>
        </w:rPr>
      </w:pPr>
    </w:p>
    <w:p w14:paraId="1BB9CA54" w14:textId="77777777" w:rsidR="00635A0B" w:rsidRPr="00836E75" w:rsidRDefault="00635A0B" w:rsidP="00635A0B">
      <w:pPr>
        <w:pStyle w:val="aa"/>
        <w:spacing w:after="0" w:line="240" w:lineRule="auto"/>
        <w:ind w:hanging="720"/>
        <w:jc w:val="both"/>
        <w:rPr>
          <w:rFonts w:eastAsia="Times New Roman" w:cs="Times New Roman"/>
          <w:b/>
          <w:color w:val="5F497A" w:themeColor="accent4" w:themeShade="BF"/>
          <w:sz w:val="26"/>
          <w:szCs w:val="26"/>
          <w:lang w:eastAsia="ru-RU"/>
        </w:rPr>
      </w:pPr>
      <w:r w:rsidRPr="00836E75">
        <w:rPr>
          <w:rFonts w:eastAsia="Times New Roman" w:cs="Times New Roman"/>
          <w:b/>
          <w:color w:val="5F497A" w:themeColor="accent4" w:themeShade="BF"/>
          <w:sz w:val="26"/>
          <w:szCs w:val="26"/>
          <w:u w:val="single"/>
          <w:lang w:eastAsia="ru-RU"/>
        </w:rPr>
        <w:t>В программе семинара</w:t>
      </w:r>
      <w:r w:rsidRPr="00836E75">
        <w:rPr>
          <w:rFonts w:eastAsia="Times New Roman" w:cs="Times New Roman"/>
          <w:b/>
          <w:color w:val="5F497A" w:themeColor="accent4" w:themeShade="BF"/>
          <w:sz w:val="26"/>
          <w:szCs w:val="26"/>
          <w:lang w:eastAsia="ru-RU"/>
        </w:rPr>
        <w:t>:</w:t>
      </w:r>
    </w:p>
    <w:p w14:paraId="20EC13A1" w14:textId="77777777" w:rsidR="00635A0B" w:rsidRPr="002C2EBB" w:rsidRDefault="00635A0B" w:rsidP="00635A0B">
      <w:pPr>
        <w:jc w:val="both"/>
      </w:pPr>
    </w:p>
    <w:p w14:paraId="412A6B50" w14:textId="77777777" w:rsidR="007C6B40" w:rsidRPr="006F2903" w:rsidRDefault="007C6B40" w:rsidP="007C6B40">
      <w:pPr>
        <w:rPr>
          <w:b/>
          <w:color w:val="17365D" w:themeColor="text2" w:themeShade="BF"/>
          <w:sz w:val="28"/>
          <w:szCs w:val="28"/>
        </w:rPr>
      </w:pPr>
    </w:p>
    <w:p w14:paraId="2CDA0582" w14:textId="77777777" w:rsidR="006F2903" w:rsidRPr="006F2903" w:rsidRDefault="006F2903" w:rsidP="006F2903">
      <w:pPr>
        <w:pStyle w:val="a3"/>
        <w:jc w:val="center"/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</w:pPr>
      <w:r w:rsidRPr="006F2903"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  <w:t>Общие вопросы</w:t>
      </w:r>
    </w:p>
    <w:p w14:paraId="43121EA6" w14:textId="77777777" w:rsidR="006F2903" w:rsidRPr="006F2903" w:rsidRDefault="006F2903" w:rsidP="006F2903">
      <w:pPr>
        <w:pStyle w:val="a3"/>
        <w:rPr>
          <w:rFonts w:cstheme="minorBidi"/>
          <w:b/>
          <w:bCs/>
          <w:color w:val="17365D" w:themeColor="text2" w:themeShade="BF"/>
          <w:sz w:val="28"/>
          <w:szCs w:val="28"/>
        </w:rPr>
      </w:pPr>
    </w:p>
    <w:p w14:paraId="292E98A7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1.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Применение с 01.07.2021 года процедуры обжалования ненормативных актов государственных органов через портал «</w:t>
      </w:r>
      <w:proofErr w:type="spellStart"/>
      <w:r w:rsidRPr="006F2903">
        <w:rPr>
          <w:rFonts w:cstheme="minorBidi"/>
          <w:bCs/>
          <w:color w:val="17365D" w:themeColor="text2" w:themeShade="BF"/>
          <w:sz w:val="28"/>
          <w:szCs w:val="28"/>
        </w:rPr>
        <w:t>Госуслуги</w:t>
      </w:r>
      <w:proofErr w:type="spellEnd"/>
      <w:r w:rsidRPr="006F2903">
        <w:rPr>
          <w:rFonts w:cstheme="minorBidi"/>
          <w:bCs/>
          <w:color w:val="17365D" w:themeColor="text2" w:themeShade="BF"/>
          <w:sz w:val="28"/>
          <w:szCs w:val="28"/>
        </w:rPr>
        <w:t>»;</w:t>
      </w:r>
    </w:p>
    <w:p w14:paraId="7BA30A0B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2.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Начало формирования единого реестра обязательных требований к бизнесу;</w:t>
      </w:r>
    </w:p>
    <w:p w14:paraId="38C53DDC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3.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Несоответствие фактической деятельности налогоплательщика заявленному в ЕГРЮЛ коду ОКВЭД;</w:t>
      </w:r>
    </w:p>
    <w:p w14:paraId="01E2F020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4.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Начало с 01.07.2021 года процесса выдачи ФНС России усиленных квалифицированных подписей: плюсы и минусы;</w:t>
      </w:r>
    </w:p>
    <w:p w14:paraId="7A22AEDF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5.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Изменения с 01.07.2021 года в процедурах налогового контроля:</w:t>
      </w:r>
    </w:p>
    <w:p w14:paraId="1F9BAA83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•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введение процедуры аннулирования налоговых деклараций;</w:t>
      </w:r>
    </w:p>
    <w:p w14:paraId="31E9139F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•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изменения в процедуре проведения камеральных проверок;</w:t>
      </w:r>
    </w:p>
    <w:p w14:paraId="55A27ECC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•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изменения в процедуре доступа на территорию налогоплательщика и осмотра территории налогоплательщика;</w:t>
      </w:r>
    </w:p>
    <w:p w14:paraId="55E72F40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•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изменение в процедуре приостановления операций по счетам.</w:t>
      </w:r>
    </w:p>
    <w:p w14:paraId="210C8D9B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6.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Практика взаимодействия с налоговыми органами (новая судебная практика):</w:t>
      </w:r>
    </w:p>
    <w:p w14:paraId="79A1479A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•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последствия признания хозяйственных операций фиктивными – начисление НДС и налога на прибыль;</w:t>
      </w:r>
    </w:p>
    <w:p w14:paraId="3B44C60C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•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исправление ошибок в налоговых декларациях;</w:t>
      </w:r>
    </w:p>
    <w:p w14:paraId="586E91CD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•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нарушение процедуры проведения налоговых проверок;</w:t>
      </w:r>
    </w:p>
    <w:p w14:paraId="24DC3E57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•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истребование документов налоговыми органами;</w:t>
      </w:r>
    </w:p>
    <w:p w14:paraId="3050536B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lastRenderedPageBreak/>
        <w:t>•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предоставление в споре с налоговым органом встречного обеспечения как способ оптимизации ликвидности.</w:t>
      </w:r>
    </w:p>
    <w:p w14:paraId="149CF21C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7.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Отдельные вопросы привлечения к ответственности: одновременное привлечение организации и должностного лица, уголовная ответственность за вывод активов от взыскания.</w:t>
      </w:r>
    </w:p>
    <w:p w14:paraId="6400E586" w14:textId="77777777" w:rsidR="006F2903" w:rsidRPr="006F2903" w:rsidRDefault="006F2903" w:rsidP="006F2903">
      <w:pPr>
        <w:pStyle w:val="a3"/>
        <w:rPr>
          <w:rFonts w:cstheme="minorBidi"/>
          <w:b/>
          <w:bCs/>
          <w:color w:val="17365D" w:themeColor="text2" w:themeShade="BF"/>
          <w:sz w:val="28"/>
          <w:szCs w:val="28"/>
        </w:rPr>
      </w:pPr>
    </w:p>
    <w:p w14:paraId="11723F37" w14:textId="77777777" w:rsidR="006F2903" w:rsidRPr="006F2903" w:rsidRDefault="006F2903" w:rsidP="006F2903">
      <w:pPr>
        <w:pStyle w:val="a3"/>
        <w:rPr>
          <w:rFonts w:cstheme="minorBidi"/>
          <w:b/>
          <w:bCs/>
          <w:color w:val="17365D" w:themeColor="text2" w:themeShade="BF"/>
          <w:sz w:val="28"/>
          <w:szCs w:val="28"/>
        </w:rPr>
      </w:pPr>
    </w:p>
    <w:p w14:paraId="66EFEC48" w14:textId="77777777" w:rsidR="006F2903" w:rsidRPr="006F2903" w:rsidRDefault="006F2903" w:rsidP="006F2903">
      <w:pPr>
        <w:pStyle w:val="a3"/>
        <w:jc w:val="center"/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</w:pPr>
      <w:r w:rsidRPr="006F2903"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  <w:t>НДС</w:t>
      </w:r>
    </w:p>
    <w:p w14:paraId="1D48750D" w14:textId="77777777" w:rsidR="006F2903" w:rsidRPr="006F2903" w:rsidRDefault="006F2903" w:rsidP="006F2903">
      <w:pPr>
        <w:pStyle w:val="a3"/>
        <w:rPr>
          <w:rFonts w:cstheme="minorBidi"/>
          <w:b/>
          <w:bCs/>
          <w:color w:val="17365D" w:themeColor="text2" w:themeShade="BF"/>
          <w:sz w:val="28"/>
          <w:szCs w:val="28"/>
        </w:rPr>
      </w:pPr>
    </w:p>
    <w:p w14:paraId="7FBF46F7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1.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Отдельные вопросы начисления НДС:</w:t>
      </w:r>
    </w:p>
    <w:p w14:paraId="68126A5D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•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определение места реализации работ и услуг: наименование работ (услуг), состав таковых по договору и обусловленность одних по отношению к другим;</w:t>
      </w:r>
    </w:p>
    <w:p w14:paraId="25875CB6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•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безвозмездность сделок: безвозмездное пользование, безвозмездная передача неотделимых улучшений арендованного имущества;</w:t>
      </w:r>
    </w:p>
    <w:p w14:paraId="54FC6D4F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•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анализ налоговыми органами элементов ценообразования в рамках договора в целях определения налоговой базы (смешанные договоры, взаимосвязанные договоры);</w:t>
      </w:r>
    </w:p>
    <w:p w14:paraId="72FA5C91" w14:textId="710E1896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•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 xml:space="preserve">установление момента отгрузки товаров (работ, услуг): анализ условий договоров и первичных документов (договоры поставки с особыми условиями передачи товаров, соотношение момента фактической передачи результатов работ и подписания акта, </w:t>
      </w:r>
      <w:proofErr w:type="gramStart"/>
      <w:r w:rsidRPr="006F2903">
        <w:rPr>
          <w:rFonts w:cstheme="minorBidi"/>
          <w:bCs/>
          <w:color w:val="17365D" w:themeColor="text2" w:themeShade="BF"/>
          <w:sz w:val="28"/>
          <w:szCs w:val="28"/>
        </w:rPr>
        <w:t>реальная</w:t>
      </w:r>
      <w:proofErr w:type="gramEnd"/>
      <w:r w:rsidR="00836E75">
        <w:rPr>
          <w:rFonts w:cstheme="minorBidi"/>
          <w:bCs/>
          <w:color w:val="17365D" w:themeColor="text2" w:themeShade="BF"/>
          <w:sz w:val="28"/>
          <w:szCs w:val="28"/>
        </w:rPr>
        <w:t xml:space="preserve"> 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 xml:space="preserve"> </w:t>
      </w:r>
      <w:proofErr w:type="spellStart"/>
      <w:r w:rsidRPr="006F2903">
        <w:rPr>
          <w:rFonts w:cstheme="minorBidi"/>
          <w:bCs/>
          <w:color w:val="17365D" w:themeColor="text2" w:themeShade="BF"/>
          <w:sz w:val="28"/>
          <w:szCs w:val="28"/>
        </w:rPr>
        <w:t>этапность</w:t>
      </w:r>
      <w:proofErr w:type="spellEnd"/>
      <w:r w:rsidRPr="006F2903">
        <w:rPr>
          <w:rFonts w:cstheme="minorBidi"/>
          <w:bCs/>
          <w:color w:val="17365D" w:themeColor="text2" w:themeShade="BF"/>
          <w:sz w:val="28"/>
          <w:szCs w:val="28"/>
        </w:rPr>
        <w:t xml:space="preserve"> сдачи результатов работ, по сделки в У.Е.;</w:t>
      </w:r>
    </w:p>
    <w:p w14:paraId="09BE23F6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2.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Изменения в порядке исчисления налоговой базы в отношении бытовой и электронной техники, приобретаемой у физических лиц (с 01.01.2022 года);</w:t>
      </w:r>
    </w:p>
    <w:p w14:paraId="5E763C74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3.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 xml:space="preserve">Изменения в формах счетов-фактур и книги покупок и продаж: введение реквизитов по </w:t>
      </w:r>
      <w:proofErr w:type="spellStart"/>
      <w:r w:rsidRPr="006F2903">
        <w:rPr>
          <w:rFonts w:cstheme="minorBidi"/>
          <w:bCs/>
          <w:color w:val="17365D" w:themeColor="text2" w:themeShade="BF"/>
          <w:sz w:val="28"/>
          <w:szCs w:val="28"/>
        </w:rPr>
        <w:t>прослеживаемости</w:t>
      </w:r>
      <w:proofErr w:type="spellEnd"/>
      <w:r w:rsidRPr="006F2903">
        <w:rPr>
          <w:rFonts w:cstheme="minorBidi"/>
          <w:bCs/>
          <w:color w:val="17365D" w:themeColor="text2" w:themeShade="BF"/>
          <w:sz w:val="28"/>
          <w:szCs w:val="28"/>
        </w:rPr>
        <w:t xml:space="preserve"> товаров, а также реквизитов документа об отгрузке товаров (работ, услуг);</w:t>
      </w:r>
    </w:p>
    <w:p w14:paraId="78FA0ECC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4.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Обоснованность применения пониженных ставок НДС и неправильность определения таковой: налоговые и гражданско-правовые последствия;</w:t>
      </w:r>
    </w:p>
    <w:p w14:paraId="2C168E17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5.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Вопросы применения налоговых вычетов: определённость целей использования приобретаемых активов, доказывание момента принятия к учёту;</w:t>
      </w:r>
    </w:p>
    <w:p w14:paraId="7855C412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6.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Новые контрольные соотношения к декларации по НДС: необходимость строгого соответствия таковым с 01.07.2021 года.</w:t>
      </w:r>
    </w:p>
    <w:p w14:paraId="0D4FDDD4" w14:textId="77777777" w:rsidR="006F2903" w:rsidRPr="006F2903" w:rsidRDefault="006F2903" w:rsidP="006F2903">
      <w:pPr>
        <w:pStyle w:val="a3"/>
        <w:rPr>
          <w:rFonts w:cstheme="minorBidi"/>
          <w:b/>
          <w:bCs/>
          <w:color w:val="17365D" w:themeColor="text2" w:themeShade="BF"/>
          <w:sz w:val="28"/>
          <w:szCs w:val="28"/>
        </w:rPr>
      </w:pPr>
    </w:p>
    <w:p w14:paraId="4BFDC816" w14:textId="77777777" w:rsidR="006F2903" w:rsidRPr="006F2903" w:rsidRDefault="006F2903" w:rsidP="006F2903">
      <w:pPr>
        <w:pStyle w:val="a3"/>
        <w:rPr>
          <w:rFonts w:cstheme="minorBidi"/>
          <w:b/>
          <w:bCs/>
          <w:color w:val="17365D" w:themeColor="text2" w:themeShade="BF"/>
          <w:sz w:val="28"/>
          <w:szCs w:val="28"/>
        </w:rPr>
      </w:pPr>
    </w:p>
    <w:p w14:paraId="61F1C510" w14:textId="77777777" w:rsidR="006F2903" w:rsidRPr="006F2903" w:rsidRDefault="006F2903" w:rsidP="006F2903">
      <w:pPr>
        <w:pStyle w:val="a3"/>
        <w:jc w:val="center"/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</w:pPr>
      <w:r w:rsidRPr="006F2903"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  <w:t>Налог на прибыль</w:t>
      </w:r>
    </w:p>
    <w:p w14:paraId="1321E52F" w14:textId="77777777" w:rsidR="006F2903" w:rsidRPr="006F2903" w:rsidRDefault="006F2903" w:rsidP="006F2903">
      <w:pPr>
        <w:pStyle w:val="a3"/>
        <w:rPr>
          <w:rFonts w:cstheme="minorBidi"/>
          <w:b/>
          <w:bCs/>
          <w:color w:val="17365D" w:themeColor="text2" w:themeShade="BF"/>
          <w:sz w:val="28"/>
          <w:szCs w:val="28"/>
        </w:rPr>
      </w:pPr>
    </w:p>
    <w:p w14:paraId="166204E8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1.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Отдельные вопросы признания доходов: выручка от реализации с особым моментом отгрузки и (или) перехода права собственности; распределение расходов по условиям договора и компенсация таковых; компенсация при изъятии имущества для государственных нужд;</w:t>
      </w:r>
    </w:p>
    <w:p w14:paraId="49630109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2.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Экономическое обоснование расходов: сделки с взаимозависимыми лицами, лицензионные платежи, продажа имущества по заниженной стоимости;</w:t>
      </w:r>
    </w:p>
    <w:p w14:paraId="762B9E6B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3.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Документальное подтверждение расходов: технологические документы, электронные документы, договоры аренды, подлежащие государственной регистрации, транспортные перевозки, кассовые чеки, документы в обоснование убытка прошлых лет;</w:t>
      </w:r>
    </w:p>
    <w:p w14:paraId="02695B26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lastRenderedPageBreak/>
        <w:t>4.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Обоснованность распределения расходов на прямые и косвенные расходы, формирование стоимости «</w:t>
      </w:r>
      <w:proofErr w:type="spellStart"/>
      <w:r w:rsidRPr="006F2903">
        <w:rPr>
          <w:rFonts w:cstheme="minorBidi"/>
          <w:bCs/>
          <w:color w:val="17365D" w:themeColor="text2" w:themeShade="BF"/>
          <w:sz w:val="28"/>
          <w:szCs w:val="28"/>
        </w:rPr>
        <w:t>незавершёнки</w:t>
      </w:r>
      <w:proofErr w:type="spellEnd"/>
      <w:r w:rsidRPr="006F2903">
        <w:rPr>
          <w:rFonts w:cstheme="minorBidi"/>
          <w:bCs/>
          <w:color w:val="17365D" w:themeColor="text2" w:themeShade="BF"/>
          <w:sz w:val="28"/>
          <w:szCs w:val="28"/>
        </w:rPr>
        <w:t>», использование принципа равномерности признания расходов, формирование стоимости амортизируемого имущества;</w:t>
      </w:r>
    </w:p>
    <w:p w14:paraId="1EDA600D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5.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Признание отдельных расходов: командировочные расходы, материальные расходы, выплаты в пользу работников, рекламные расходы.</w:t>
      </w:r>
    </w:p>
    <w:p w14:paraId="3AA3A2C0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</w:p>
    <w:p w14:paraId="32A769EE" w14:textId="77777777" w:rsidR="006F2903" w:rsidRPr="006F2903" w:rsidRDefault="006F2903" w:rsidP="006F2903">
      <w:pPr>
        <w:pStyle w:val="a3"/>
        <w:rPr>
          <w:rFonts w:cstheme="minorBidi"/>
          <w:b/>
          <w:bCs/>
          <w:color w:val="17365D" w:themeColor="text2" w:themeShade="BF"/>
          <w:sz w:val="28"/>
          <w:szCs w:val="28"/>
        </w:rPr>
      </w:pPr>
    </w:p>
    <w:p w14:paraId="5B97A28E" w14:textId="77777777" w:rsidR="006F2903" w:rsidRPr="006F2903" w:rsidRDefault="006F2903" w:rsidP="006F2903">
      <w:pPr>
        <w:pStyle w:val="a3"/>
        <w:jc w:val="center"/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</w:pPr>
      <w:r w:rsidRPr="006F2903"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  <w:t>Зарплатные налоги</w:t>
      </w:r>
    </w:p>
    <w:p w14:paraId="63440C48" w14:textId="77777777" w:rsidR="006F2903" w:rsidRPr="006F2903" w:rsidRDefault="006F2903" w:rsidP="006F2903">
      <w:pPr>
        <w:pStyle w:val="a3"/>
        <w:rPr>
          <w:rFonts w:cstheme="minorBidi"/>
          <w:b/>
          <w:bCs/>
          <w:color w:val="17365D" w:themeColor="text2" w:themeShade="BF"/>
          <w:sz w:val="28"/>
          <w:szCs w:val="28"/>
        </w:rPr>
      </w:pPr>
    </w:p>
    <w:p w14:paraId="4498192C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1.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 xml:space="preserve">Изменения в формах отчётности: формализация реквизита «адрес», введение реквизита «ИНН», введение информации о </w:t>
      </w:r>
      <w:proofErr w:type="spellStart"/>
      <w:r w:rsidRPr="006F2903">
        <w:rPr>
          <w:rFonts w:cstheme="minorBidi"/>
          <w:bCs/>
          <w:color w:val="17365D" w:themeColor="text2" w:themeShade="BF"/>
          <w:sz w:val="28"/>
          <w:szCs w:val="28"/>
        </w:rPr>
        <w:t>правопредшественнике</w:t>
      </w:r>
      <w:proofErr w:type="spellEnd"/>
      <w:r w:rsidRPr="006F2903">
        <w:rPr>
          <w:rFonts w:cstheme="minorBidi"/>
          <w:bCs/>
          <w:color w:val="17365D" w:themeColor="text2" w:themeShade="BF"/>
          <w:sz w:val="28"/>
          <w:szCs w:val="28"/>
        </w:rPr>
        <w:t>, указание кода выполняемой работником функции;</w:t>
      </w:r>
    </w:p>
    <w:p w14:paraId="1A0A7FDC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2.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Фиксированный платёж для ИП: некоторые периоды могут не учитываться (мнение КС РФ);</w:t>
      </w:r>
    </w:p>
    <w:p w14:paraId="1FD7CA5B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3.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Трудовые договоры с «дистанционными» работниками;</w:t>
      </w:r>
    </w:p>
    <w:p w14:paraId="347AB7B6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4.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Применение пониженных тарифов СМП зависит от данных реестра СМП;</w:t>
      </w:r>
    </w:p>
    <w:p w14:paraId="62E692DD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5.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Социальные выплаты в пользу работников или возмещение «рабочих» расходов (не) формируют объект обложения страховыми взносами (мнение ФНС России и судебная практика)</w:t>
      </w:r>
    </w:p>
    <w:p w14:paraId="429D08A5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</w:p>
    <w:p w14:paraId="1D616C0C" w14:textId="77777777" w:rsidR="006F2903" w:rsidRPr="006F2903" w:rsidRDefault="006F2903" w:rsidP="006F2903">
      <w:pPr>
        <w:pStyle w:val="a3"/>
        <w:rPr>
          <w:rFonts w:cstheme="minorBidi"/>
          <w:b/>
          <w:bCs/>
          <w:color w:val="17365D" w:themeColor="text2" w:themeShade="BF"/>
          <w:sz w:val="28"/>
          <w:szCs w:val="28"/>
        </w:rPr>
      </w:pPr>
    </w:p>
    <w:p w14:paraId="3D7AD47D" w14:textId="77777777" w:rsidR="006F2903" w:rsidRPr="006F2903" w:rsidRDefault="006F2903" w:rsidP="006F2903">
      <w:pPr>
        <w:pStyle w:val="a3"/>
        <w:jc w:val="center"/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</w:pPr>
      <w:r w:rsidRPr="006F2903"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  <w:t>НДФЛ</w:t>
      </w:r>
    </w:p>
    <w:p w14:paraId="2C3687DE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</w:p>
    <w:p w14:paraId="43071BED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1.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Признание дохода физического лица: приобретение имущества по заниженной стоимости, возмещение коммунальных расходов;</w:t>
      </w:r>
    </w:p>
    <w:p w14:paraId="02C7297E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2.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Трудовые договоры с «дистанционными» работниками: место выполнение работы, статус налогового резидента и ставка НДФЛ;</w:t>
      </w:r>
    </w:p>
    <w:p w14:paraId="2D8F8ACF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3.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Новый социальный налоговый вычет («спортивный» вычет с 01.01.2022 года);</w:t>
      </w:r>
    </w:p>
    <w:p w14:paraId="76CCFE57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4.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Новые правила предоставления с 01.01.2022 года социальных, инвестиционных и имущественных налоговых вычетов с использованием личного кабинета налогоплательщика;</w:t>
      </w:r>
    </w:p>
    <w:p w14:paraId="314649F7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5.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Некоторые вопросы представления формы 6-НДФЛ.</w:t>
      </w:r>
    </w:p>
    <w:p w14:paraId="70905408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</w:p>
    <w:p w14:paraId="6BF4A5CC" w14:textId="77777777" w:rsidR="006F2903" w:rsidRPr="006F2903" w:rsidRDefault="006F2903" w:rsidP="006F2903">
      <w:pPr>
        <w:pStyle w:val="a3"/>
        <w:rPr>
          <w:rFonts w:cstheme="minorBidi"/>
          <w:b/>
          <w:bCs/>
          <w:color w:val="17365D" w:themeColor="text2" w:themeShade="BF"/>
          <w:sz w:val="28"/>
          <w:szCs w:val="28"/>
        </w:rPr>
      </w:pPr>
    </w:p>
    <w:p w14:paraId="23897CB8" w14:textId="77777777" w:rsidR="006F2903" w:rsidRPr="006F2903" w:rsidRDefault="006F2903" w:rsidP="006F2903">
      <w:pPr>
        <w:pStyle w:val="a3"/>
        <w:jc w:val="center"/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</w:pPr>
      <w:r w:rsidRPr="006F2903">
        <w:rPr>
          <w:rFonts w:cstheme="minorBidi"/>
          <w:b/>
          <w:bCs/>
          <w:color w:val="17365D" w:themeColor="text2" w:themeShade="BF"/>
          <w:sz w:val="28"/>
          <w:szCs w:val="28"/>
          <w:u w:val="single"/>
        </w:rPr>
        <w:t>Имущественные налоги</w:t>
      </w:r>
    </w:p>
    <w:p w14:paraId="6C827130" w14:textId="77777777" w:rsidR="006F2903" w:rsidRPr="006F2903" w:rsidRDefault="006F2903" w:rsidP="006F2903">
      <w:pPr>
        <w:pStyle w:val="a3"/>
        <w:rPr>
          <w:rFonts w:cstheme="minorBidi"/>
          <w:b/>
          <w:bCs/>
          <w:color w:val="17365D" w:themeColor="text2" w:themeShade="BF"/>
          <w:sz w:val="28"/>
          <w:szCs w:val="28"/>
        </w:rPr>
      </w:pPr>
    </w:p>
    <w:p w14:paraId="633D302D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1.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Определение объекта обложения налогом на имущество:</w:t>
      </w:r>
    </w:p>
    <w:p w14:paraId="3D6E245C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•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оборудование как часть здания или самостоятельный актив (судебная практика);</w:t>
      </w:r>
    </w:p>
    <w:p w14:paraId="4575BA7C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•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неотделимые улучшения земельного участка;</w:t>
      </w:r>
    </w:p>
    <w:p w14:paraId="507FF173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•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ретроспективный пересмотр кадастровой стоимости.</w:t>
      </w:r>
    </w:p>
    <w:p w14:paraId="575EB0C7" w14:textId="77777777" w:rsidR="006F2903" w:rsidRPr="006F2903" w:rsidRDefault="006F2903" w:rsidP="006F2903">
      <w:pPr>
        <w:pStyle w:val="a3"/>
        <w:rPr>
          <w:rFonts w:cstheme="minorBidi"/>
          <w:bCs/>
          <w:color w:val="17365D" w:themeColor="text2" w:themeShade="BF"/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2.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Оспаривание кадастровой стоимости по однородным объектам недвижимости;</w:t>
      </w:r>
    </w:p>
    <w:p w14:paraId="613D8980" w14:textId="66B0A0A0" w:rsidR="00635A0B" w:rsidRPr="006F2903" w:rsidRDefault="006F2903" w:rsidP="006F2903">
      <w:pPr>
        <w:pStyle w:val="a3"/>
        <w:rPr>
          <w:sz w:val="28"/>
          <w:szCs w:val="28"/>
        </w:rPr>
      </w:pPr>
      <w:r w:rsidRPr="006F2903">
        <w:rPr>
          <w:rFonts w:cstheme="minorBidi"/>
          <w:bCs/>
          <w:color w:val="17365D" w:themeColor="text2" w:themeShade="BF"/>
          <w:sz w:val="28"/>
          <w:szCs w:val="28"/>
        </w:rPr>
        <w:t>3.</w:t>
      </w:r>
      <w:r w:rsidRPr="006F2903">
        <w:rPr>
          <w:rFonts w:cstheme="minorBidi"/>
          <w:bCs/>
          <w:color w:val="17365D" w:themeColor="text2" w:themeShade="BF"/>
          <w:sz w:val="28"/>
          <w:szCs w:val="28"/>
        </w:rPr>
        <w:tab/>
        <w:t>Практика применения пониженных ставок земельного налога.</w:t>
      </w:r>
    </w:p>
    <w:p w14:paraId="5A9926DE" w14:textId="77777777" w:rsidR="006F2903" w:rsidRDefault="006F2903" w:rsidP="00635A0B">
      <w:pPr>
        <w:rPr>
          <w:i/>
          <w:color w:val="17365D" w:themeColor="text2" w:themeShade="BF"/>
          <w:sz w:val="18"/>
          <w:szCs w:val="18"/>
        </w:rPr>
      </w:pPr>
    </w:p>
    <w:p w14:paraId="4074F0D5" w14:textId="77777777" w:rsidR="006F2903" w:rsidRDefault="006F2903" w:rsidP="00635A0B">
      <w:pPr>
        <w:rPr>
          <w:i/>
          <w:color w:val="17365D" w:themeColor="text2" w:themeShade="BF"/>
          <w:sz w:val="18"/>
          <w:szCs w:val="18"/>
        </w:rPr>
      </w:pPr>
    </w:p>
    <w:p w14:paraId="61480194" w14:textId="77777777" w:rsidR="006F2903" w:rsidRDefault="006F2903" w:rsidP="00635A0B">
      <w:pPr>
        <w:rPr>
          <w:i/>
          <w:color w:val="17365D" w:themeColor="text2" w:themeShade="BF"/>
          <w:sz w:val="18"/>
          <w:szCs w:val="18"/>
        </w:rPr>
      </w:pPr>
    </w:p>
    <w:p w14:paraId="227181AE" w14:textId="77777777" w:rsidR="006F2903" w:rsidRDefault="006F2903" w:rsidP="00635A0B">
      <w:pPr>
        <w:rPr>
          <w:i/>
          <w:color w:val="17365D" w:themeColor="text2" w:themeShade="BF"/>
          <w:sz w:val="18"/>
          <w:szCs w:val="18"/>
        </w:rPr>
      </w:pPr>
    </w:p>
    <w:p w14:paraId="422359EC" w14:textId="4867D960" w:rsidR="00635A0B" w:rsidRPr="00E51A2E" w:rsidRDefault="00E51A2E" w:rsidP="00635A0B">
      <w:pPr>
        <w:rPr>
          <w:i/>
          <w:color w:val="17365D" w:themeColor="text2" w:themeShade="BF"/>
          <w:sz w:val="18"/>
          <w:szCs w:val="18"/>
        </w:rPr>
      </w:pPr>
      <w:r w:rsidRPr="00E51A2E">
        <w:rPr>
          <w:i/>
          <w:color w:val="17365D" w:themeColor="text2" w:themeShade="BF"/>
          <w:sz w:val="18"/>
          <w:szCs w:val="18"/>
        </w:rPr>
        <w:lastRenderedPageBreak/>
        <w:t>*</w:t>
      </w:r>
      <w:r w:rsidR="00635A0B" w:rsidRPr="00E51A2E">
        <w:rPr>
          <w:i/>
          <w:color w:val="17365D" w:themeColor="text2" w:themeShade="BF"/>
          <w:sz w:val="18"/>
          <w:szCs w:val="18"/>
        </w:rPr>
        <w:t xml:space="preserve">Программа будет дополнена в случае принятия ко дню проведения семинара законов, вносящих изменения и дополнения в ТК РФ, НК РФ и других законодательных актов, имеющих отношение к </w:t>
      </w:r>
      <w:r w:rsidR="006F2903">
        <w:rPr>
          <w:i/>
          <w:color w:val="17365D" w:themeColor="text2" w:themeShade="BF"/>
          <w:sz w:val="18"/>
          <w:szCs w:val="18"/>
        </w:rPr>
        <w:t>тематике проведения семинара</w:t>
      </w:r>
      <w:r w:rsidR="00635A0B" w:rsidRPr="00E51A2E">
        <w:rPr>
          <w:i/>
          <w:color w:val="17365D" w:themeColor="text2" w:themeShade="BF"/>
          <w:sz w:val="18"/>
          <w:szCs w:val="18"/>
        </w:rPr>
        <w:t xml:space="preserve">. </w:t>
      </w:r>
    </w:p>
    <w:p w14:paraId="1250F4D3" w14:textId="77777777" w:rsidR="00E51A2E" w:rsidRDefault="00E51A2E" w:rsidP="00635A0B">
      <w:pPr>
        <w:rPr>
          <w:i/>
          <w:sz w:val="18"/>
          <w:szCs w:val="18"/>
        </w:rPr>
      </w:pPr>
    </w:p>
    <w:p w14:paraId="43697ADD" w14:textId="4862F2CE" w:rsidR="00E51A2E" w:rsidRPr="00907B75" w:rsidRDefault="00E51A2E" w:rsidP="00E51A2E">
      <w:pPr>
        <w:jc w:val="center"/>
        <w:rPr>
          <w:b/>
          <w:color w:val="17365D" w:themeColor="text2" w:themeShade="BF"/>
        </w:rPr>
      </w:pPr>
    </w:p>
    <w:p w14:paraId="409B40FC" w14:textId="77777777" w:rsidR="00E51A2E" w:rsidRPr="00DB24FA" w:rsidRDefault="00E51A2E" w:rsidP="00E51A2E">
      <w:pPr>
        <w:jc w:val="center"/>
        <w:rPr>
          <w:b/>
          <w:color w:val="000000" w:themeColor="text1"/>
        </w:rPr>
      </w:pPr>
    </w:p>
    <w:p w14:paraId="1F18CF14" w14:textId="77777777" w:rsidR="00E51A2E" w:rsidRPr="00907B75" w:rsidRDefault="00E51A2E" w:rsidP="00E51A2E">
      <w:pPr>
        <w:jc w:val="center"/>
        <w:rPr>
          <w:b/>
          <w:color w:val="5F497A" w:themeColor="accent4" w:themeShade="BF"/>
          <w:sz w:val="28"/>
          <w:szCs w:val="28"/>
        </w:rPr>
      </w:pPr>
      <w:r w:rsidRPr="00907B75">
        <w:rPr>
          <w:b/>
          <w:color w:val="5F497A" w:themeColor="accent4" w:themeShade="BF"/>
          <w:sz w:val="28"/>
          <w:szCs w:val="28"/>
          <w:u w:val="single"/>
        </w:rPr>
        <w:t xml:space="preserve">Стоимость участия </w:t>
      </w:r>
    </w:p>
    <w:p w14:paraId="15CCE957" w14:textId="77777777" w:rsidR="00E51A2E" w:rsidRPr="00597443" w:rsidRDefault="00E51A2E" w:rsidP="00E51A2E">
      <w:pPr>
        <w:jc w:val="center"/>
        <w:rPr>
          <w:b/>
          <w:color w:val="000000" w:themeColor="text1"/>
          <w:sz w:val="20"/>
          <w:szCs w:val="28"/>
        </w:rPr>
      </w:pPr>
    </w:p>
    <w:tbl>
      <w:tblPr>
        <w:tblStyle w:val="ad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E51A2E" w:rsidRPr="00597443" w14:paraId="3893321F" w14:textId="77777777" w:rsidTr="007E3A0A">
        <w:trPr>
          <w:trHeight w:val="212"/>
        </w:trPr>
        <w:tc>
          <w:tcPr>
            <w:tcW w:w="6097" w:type="dxa"/>
            <w:vAlign w:val="center"/>
          </w:tcPr>
          <w:p w14:paraId="7120757C" w14:textId="77777777" w:rsidR="00E51A2E" w:rsidRPr="00907B75" w:rsidRDefault="00E51A2E" w:rsidP="007E3A0A">
            <w:pPr>
              <w:ind w:left="426"/>
              <w:jc w:val="both"/>
              <w:rPr>
                <w:color w:val="0F243E" w:themeColor="text2" w:themeShade="80"/>
                <w:sz w:val="20"/>
              </w:rPr>
            </w:pPr>
            <w:r w:rsidRPr="00907B75">
              <w:rPr>
                <w:color w:val="0F243E" w:themeColor="text2" w:themeShade="80"/>
                <w:sz w:val="20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14:paraId="05480FCF" w14:textId="31BFF04D" w:rsidR="00E51A2E" w:rsidRPr="00907B75" w:rsidRDefault="00836E75" w:rsidP="007E3A0A">
            <w:pPr>
              <w:rPr>
                <w:b/>
                <w:color w:val="0F243E" w:themeColor="text2" w:themeShade="80"/>
                <w:sz w:val="20"/>
              </w:rPr>
            </w:pPr>
            <w:r>
              <w:rPr>
                <w:b/>
                <w:color w:val="0F243E" w:themeColor="text2" w:themeShade="80"/>
                <w:sz w:val="20"/>
              </w:rPr>
              <w:t>4400</w:t>
            </w:r>
            <w:r w:rsidR="00FF640D">
              <w:rPr>
                <w:b/>
                <w:color w:val="0F243E" w:themeColor="text2" w:themeShade="80"/>
                <w:sz w:val="20"/>
                <w:lang w:val="en-US"/>
              </w:rPr>
              <w:t xml:space="preserve"> </w:t>
            </w:r>
            <w:r w:rsidR="00E51A2E" w:rsidRPr="00907B75">
              <w:rPr>
                <w:b/>
                <w:color w:val="0F243E" w:themeColor="text2" w:themeShade="80"/>
                <w:sz w:val="20"/>
              </w:rPr>
              <w:t>руб.</w:t>
            </w:r>
          </w:p>
        </w:tc>
      </w:tr>
      <w:tr w:rsidR="00E51A2E" w:rsidRPr="00597443" w14:paraId="22662F6C" w14:textId="77777777" w:rsidTr="007E3A0A">
        <w:trPr>
          <w:trHeight w:val="307"/>
        </w:trPr>
        <w:tc>
          <w:tcPr>
            <w:tcW w:w="6097" w:type="dxa"/>
            <w:vAlign w:val="center"/>
          </w:tcPr>
          <w:p w14:paraId="01F69267" w14:textId="77777777" w:rsidR="00E51A2E" w:rsidRPr="00907B75" w:rsidRDefault="00E51A2E" w:rsidP="007E3A0A">
            <w:pPr>
              <w:ind w:left="426"/>
              <w:jc w:val="both"/>
              <w:rPr>
                <w:color w:val="0F243E" w:themeColor="text2" w:themeShade="80"/>
                <w:sz w:val="20"/>
              </w:rPr>
            </w:pPr>
            <w:r w:rsidRPr="00907B75">
              <w:rPr>
                <w:color w:val="0F243E" w:themeColor="text2" w:themeShade="80"/>
                <w:sz w:val="20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14:paraId="6B5B234D" w14:textId="097014CD" w:rsidR="00E51A2E" w:rsidRPr="00907B75" w:rsidRDefault="00836E75" w:rsidP="00836E75">
            <w:pPr>
              <w:rPr>
                <w:b/>
                <w:color w:val="0F243E" w:themeColor="text2" w:themeShade="80"/>
                <w:sz w:val="20"/>
              </w:rPr>
            </w:pPr>
            <w:r w:rsidRPr="00836E75">
              <w:rPr>
                <w:b/>
                <w:color w:val="0F243E" w:themeColor="text2" w:themeShade="80"/>
                <w:sz w:val="20"/>
              </w:rPr>
              <w:t xml:space="preserve">6 </w:t>
            </w:r>
            <w:r>
              <w:rPr>
                <w:b/>
                <w:color w:val="0F243E" w:themeColor="text2" w:themeShade="80"/>
                <w:sz w:val="20"/>
              </w:rPr>
              <w:t>9</w:t>
            </w:r>
            <w:r w:rsidRPr="00836E75">
              <w:rPr>
                <w:b/>
                <w:color w:val="0F243E" w:themeColor="text2" w:themeShade="80"/>
                <w:sz w:val="20"/>
              </w:rPr>
              <w:t xml:space="preserve">00 руб. (4 </w:t>
            </w:r>
            <w:r>
              <w:rPr>
                <w:b/>
                <w:color w:val="0F243E" w:themeColor="text2" w:themeShade="80"/>
                <w:sz w:val="20"/>
              </w:rPr>
              <w:t>4</w:t>
            </w:r>
            <w:r w:rsidRPr="00836E75">
              <w:rPr>
                <w:b/>
                <w:color w:val="0F243E" w:themeColor="text2" w:themeShade="80"/>
                <w:sz w:val="20"/>
              </w:rPr>
              <w:t>00 руб.+2 500 руб.)</w:t>
            </w:r>
          </w:p>
        </w:tc>
      </w:tr>
      <w:tr w:rsidR="00E51A2E" w:rsidRPr="00597443" w14:paraId="583FCFBF" w14:textId="77777777" w:rsidTr="007E3A0A">
        <w:trPr>
          <w:trHeight w:val="307"/>
        </w:trPr>
        <w:tc>
          <w:tcPr>
            <w:tcW w:w="6097" w:type="dxa"/>
            <w:vAlign w:val="center"/>
          </w:tcPr>
          <w:p w14:paraId="453602BF" w14:textId="77777777" w:rsidR="00E51A2E" w:rsidRPr="00907B75" w:rsidRDefault="00E51A2E" w:rsidP="007E3A0A">
            <w:pPr>
              <w:ind w:left="426"/>
              <w:jc w:val="both"/>
              <w:rPr>
                <w:color w:val="0F243E" w:themeColor="text2" w:themeShade="80"/>
                <w:sz w:val="20"/>
              </w:rPr>
            </w:pPr>
            <w:r w:rsidRPr="00907B75">
              <w:rPr>
                <w:color w:val="0F243E" w:themeColor="text2" w:themeShade="80"/>
                <w:sz w:val="20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14:paraId="44144249" w14:textId="5F7044D9" w:rsidR="00E51A2E" w:rsidRPr="00907B75" w:rsidRDefault="00836E75" w:rsidP="00836E75">
            <w:pPr>
              <w:rPr>
                <w:b/>
                <w:color w:val="0F243E" w:themeColor="text2" w:themeShade="80"/>
                <w:sz w:val="20"/>
              </w:rPr>
            </w:pPr>
            <w:r w:rsidRPr="00836E75">
              <w:rPr>
                <w:b/>
                <w:color w:val="0F243E" w:themeColor="text2" w:themeShade="80"/>
                <w:sz w:val="20"/>
              </w:rPr>
              <w:t xml:space="preserve">6 </w:t>
            </w:r>
            <w:r>
              <w:rPr>
                <w:b/>
                <w:color w:val="0F243E" w:themeColor="text2" w:themeShade="80"/>
                <w:sz w:val="20"/>
              </w:rPr>
              <w:t>9</w:t>
            </w:r>
            <w:r w:rsidRPr="00836E75">
              <w:rPr>
                <w:b/>
                <w:color w:val="0F243E" w:themeColor="text2" w:themeShade="80"/>
                <w:sz w:val="20"/>
              </w:rPr>
              <w:t xml:space="preserve">00 руб. (4 </w:t>
            </w:r>
            <w:r>
              <w:rPr>
                <w:b/>
                <w:color w:val="0F243E" w:themeColor="text2" w:themeShade="80"/>
                <w:sz w:val="20"/>
              </w:rPr>
              <w:t>4</w:t>
            </w:r>
            <w:r w:rsidRPr="00836E75">
              <w:rPr>
                <w:b/>
                <w:color w:val="0F243E" w:themeColor="text2" w:themeShade="80"/>
                <w:sz w:val="20"/>
              </w:rPr>
              <w:t>00 руб.+2 500 руб. +0)</w:t>
            </w:r>
          </w:p>
        </w:tc>
      </w:tr>
      <w:tr w:rsidR="00E51A2E" w:rsidRPr="00597443" w14:paraId="1D6481E6" w14:textId="77777777" w:rsidTr="007E3A0A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14:paraId="2311BB70" w14:textId="77777777" w:rsidR="00E51A2E" w:rsidRPr="00907B75" w:rsidRDefault="00E51A2E" w:rsidP="007E3A0A">
            <w:pPr>
              <w:ind w:left="426"/>
              <w:jc w:val="both"/>
              <w:rPr>
                <w:b/>
                <w:color w:val="0F243E" w:themeColor="text2" w:themeShade="80"/>
                <w:sz w:val="20"/>
              </w:rPr>
            </w:pPr>
            <w:r w:rsidRPr="00907B75">
              <w:rPr>
                <w:color w:val="0F243E" w:themeColor="text2" w:themeShade="80"/>
                <w:sz w:val="20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14:paraId="7A50847C" w14:textId="77777777" w:rsidR="00E51A2E" w:rsidRPr="00907B75" w:rsidRDefault="00E51A2E" w:rsidP="007E3A0A">
            <w:pPr>
              <w:rPr>
                <w:b/>
                <w:color w:val="0F243E" w:themeColor="text2" w:themeShade="80"/>
                <w:sz w:val="20"/>
              </w:rPr>
            </w:pPr>
            <w:r w:rsidRPr="00907B75">
              <w:rPr>
                <w:b/>
                <w:color w:val="0F243E" w:themeColor="text2" w:themeShade="80"/>
                <w:sz w:val="20"/>
              </w:rPr>
              <w:t>6 000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F79037" w14:textId="77777777" w:rsidR="00E51A2E" w:rsidRPr="00597443" w:rsidRDefault="00E51A2E" w:rsidP="007E3A0A">
            <w:pPr>
              <w:rPr>
                <w:sz w:val="20"/>
              </w:rPr>
            </w:pPr>
          </w:p>
        </w:tc>
      </w:tr>
      <w:tr w:rsidR="00E51A2E" w:rsidRPr="00597443" w14:paraId="1E43A3C3" w14:textId="77777777" w:rsidTr="007E3A0A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14:paraId="33D80808" w14:textId="1281D065" w:rsidR="00E51A2E" w:rsidRPr="004E76A6" w:rsidRDefault="00E51A2E" w:rsidP="0024247B">
            <w:pPr>
              <w:ind w:left="426"/>
              <w:jc w:val="both"/>
              <w:rPr>
                <w:color w:val="0F243E" w:themeColor="text2" w:themeShade="80"/>
                <w:sz w:val="20"/>
              </w:rPr>
            </w:pPr>
            <w:r>
              <w:rPr>
                <w:color w:val="0F243E" w:themeColor="text2" w:themeShade="80"/>
                <w:sz w:val="20"/>
              </w:rPr>
              <w:t xml:space="preserve">онлайн-участие </w:t>
            </w:r>
          </w:p>
        </w:tc>
        <w:tc>
          <w:tcPr>
            <w:tcW w:w="3892" w:type="dxa"/>
            <w:tcBorders>
              <w:right w:val="nil"/>
            </w:tcBorders>
          </w:tcPr>
          <w:p w14:paraId="01B8EC95" w14:textId="77777777" w:rsidR="00E51A2E" w:rsidRPr="00907B75" w:rsidRDefault="00E51A2E" w:rsidP="007E3A0A">
            <w:pPr>
              <w:rPr>
                <w:b/>
                <w:color w:val="0F243E" w:themeColor="text2" w:themeShade="80"/>
                <w:sz w:val="20"/>
              </w:rPr>
            </w:pPr>
            <w:r>
              <w:rPr>
                <w:b/>
                <w:color w:val="0F243E" w:themeColor="text2" w:themeShade="80"/>
                <w:sz w:val="20"/>
              </w:rPr>
              <w:t>2 500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8C328" w14:textId="77777777" w:rsidR="00E51A2E" w:rsidRPr="00597443" w:rsidRDefault="00E51A2E" w:rsidP="007E3A0A">
            <w:pPr>
              <w:rPr>
                <w:sz w:val="20"/>
              </w:rPr>
            </w:pPr>
          </w:p>
        </w:tc>
      </w:tr>
      <w:tr w:rsidR="00E51A2E" w:rsidRPr="00597443" w14:paraId="05A77C51" w14:textId="77777777" w:rsidTr="007E3A0A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14:paraId="23EE2C3C" w14:textId="77777777" w:rsidR="00E51A2E" w:rsidRDefault="00E51A2E" w:rsidP="007E3A0A">
            <w:pPr>
              <w:ind w:left="426"/>
              <w:jc w:val="both"/>
              <w:rPr>
                <w:color w:val="0F243E" w:themeColor="text2" w:themeShade="80"/>
                <w:sz w:val="20"/>
              </w:rPr>
            </w:pPr>
            <w:r>
              <w:rPr>
                <w:color w:val="0F243E" w:themeColor="text2" w:themeShade="80"/>
                <w:sz w:val="20"/>
              </w:rPr>
              <w:t>запись</w:t>
            </w:r>
          </w:p>
        </w:tc>
        <w:tc>
          <w:tcPr>
            <w:tcW w:w="3892" w:type="dxa"/>
            <w:tcBorders>
              <w:right w:val="nil"/>
            </w:tcBorders>
          </w:tcPr>
          <w:p w14:paraId="0323BCB6" w14:textId="77777777" w:rsidR="00E51A2E" w:rsidRDefault="00E51A2E" w:rsidP="007E3A0A">
            <w:pPr>
              <w:rPr>
                <w:b/>
                <w:color w:val="0F243E" w:themeColor="text2" w:themeShade="80"/>
                <w:sz w:val="20"/>
              </w:rPr>
            </w:pPr>
            <w:r>
              <w:rPr>
                <w:b/>
                <w:color w:val="0F243E" w:themeColor="text2" w:themeShade="80"/>
                <w:sz w:val="20"/>
              </w:rPr>
              <w:t>2 000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D0B4D77" w14:textId="77777777" w:rsidR="00E51A2E" w:rsidRPr="00597443" w:rsidRDefault="00E51A2E" w:rsidP="007E3A0A">
            <w:pPr>
              <w:rPr>
                <w:sz w:val="20"/>
              </w:rPr>
            </w:pPr>
          </w:p>
        </w:tc>
      </w:tr>
    </w:tbl>
    <w:p w14:paraId="0558EEBC" w14:textId="77777777" w:rsidR="00E51A2E" w:rsidRPr="00597443" w:rsidRDefault="00E51A2E" w:rsidP="00E51A2E">
      <w:pPr>
        <w:rPr>
          <w:b/>
          <w:sz w:val="20"/>
        </w:rPr>
      </w:pPr>
    </w:p>
    <w:p w14:paraId="1709B675" w14:textId="6AA97660" w:rsidR="00E51A2E" w:rsidRDefault="00E51A2E" w:rsidP="00E51A2E">
      <w:pPr>
        <w:jc w:val="center"/>
        <w:rPr>
          <w:b/>
          <w:color w:val="17365D" w:themeColor="text2" w:themeShade="BF"/>
        </w:rPr>
      </w:pPr>
      <w:r w:rsidRPr="00907B75">
        <w:rPr>
          <w:color w:val="17365D" w:themeColor="text2" w:themeShade="BF"/>
        </w:rPr>
        <w:t>В стоимость участия входит</w:t>
      </w:r>
      <w:r w:rsidRPr="00907B75">
        <w:rPr>
          <w:b/>
          <w:color w:val="17365D" w:themeColor="text2" w:themeShade="BF"/>
        </w:rPr>
        <w:t xml:space="preserve"> обед, раздаточный материал и комплект для записи.</w:t>
      </w:r>
    </w:p>
    <w:p w14:paraId="022F32D8" w14:textId="77777777" w:rsidR="00E51A2E" w:rsidRDefault="00E51A2E" w:rsidP="00E51A2E">
      <w:pPr>
        <w:jc w:val="center"/>
        <w:rPr>
          <w:color w:val="244061" w:themeColor="accent1" w:themeShade="80"/>
          <w:sz w:val="20"/>
        </w:rPr>
      </w:pPr>
    </w:p>
    <w:p w14:paraId="3FCB592C" w14:textId="55F6D4A7" w:rsidR="00E51A2E" w:rsidRDefault="00E51A2E" w:rsidP="00E51A2E">
      <w:pPr>
        <w:jc w:val="center"/>
        <w:rPr>
          <w:color w:val="244061" w:themeColor="accent1" w:themeShade="80"/>
          <w:sz w:val="20"/>
        </w:rPr>
      </w:pPr>
      <w:r w:rsidRPr="00907B75">
        <w:rPr>
          <w:color w:val="244061" w:themeColor="accent1" w:themeShade="80"/>
          <w:sz w:val="20"/>
        </w:rPr>
        <w:t xml:space="preserve">Подробности уточняйте по тел. </w:t>
      </w:r>
      <w:r w:rsidR="00E43885">
        <w:rPr>
          <w:color w:val="244061" w:themeColor="accent1" w:themeShade="80"/>
          <w:sz w:val="20"/>
        </w:rPr>
        <w:t>+79818209828 Светлана</w:t>
      </w:r>
      <w:bookmarkStart w:id="0" w:name="_GoBack"/>
      <w:bookmarkEnd w:id="0"/>
    </w:p>
    <w:p w14:paraId="23792AF0" w14:textId="7BBEA8BD" w:rsidR="00044BD1" w:rsidRPr="00907B75" w:rsidRDefault="00044BD1" w:rsidP="00E51A2E">
      <w:pPr>
        <w:jc w:val="center"/>
        <w:rPr>
          <w:color w:val="244061" w:themeColor="accent1" w:themeShade="80"/>
          <w:sz w:val="20"/>
        </w:rPr>
      </w:pPr>
      <w:r>
        <w:rPr>
          <w:color w:val="244061" w:themeColor="accent1" w:themeShade="80"/>
          <w:sz w:val="20"/>
        </w:rPr>
        <w:t xml:space="preserve">или по электронной почте </w:t>
      </w:r>
      <w:r w:rsidRPr="00044BD1">
        <w:rPr>
          <w:color w:val="244061" w:themeColor="accent1" w:themeShade="80"/>
          <w:sz w:val="20"/>
        </w:rPr>
        <w:t>kirsanova_s@spb.tsk.ru</w:t>
      </w:r>
    </w:p>
    <w:p w14:paraId="7728CCBB" w14:textId="77777777" w:rsidR="00E51A2E" w:rsidRPr="00597443" w:rsidRDefault="00E51A2E" w:rsidP="00E51A2E">
      <w:pPr>
        <w:jc w:val="center"/>
        <w:rPr>
          <w:sz w:val="20"/>
        </w:rPr>
      </w:pPr>
    </w:p>
    <w:p w14:paraId="73431818" w14:textId="77777777" w:rsidR="00E51A2E" w:rsidRPr="00907B75" w:rsidRDefault="00E51A2E" w:rsidP="00E51A2E">
      <w:pPr>
        <w:pStyle w:val="aa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244061" w:themeColor="accent1" w:themeShade="80"/>
          <w:sz w:val="20"/>
          <w:lang w:eastAsia="ru-RU"/>
        </w:rPr>
      </w:pPr>
      <w:r w:rsidRPr="00907B75">
        <w:rPr>
          <w:rFonts w:eastAsia="Times New Roman" w:cs="Times New Roman"/>
          <w:b/>
          <w:color w:val="244061" w:themeColor="accent1" w:themeShade="80"/>
          <w:sz w:val="20"/>
          <w:lang w:eastAsia="ru-RU"/>
        </w:rPr>
        <w:t>Внимание! Обязательна предварительная регистрация! (по телефону или на сайте)</w:t>
      </w:r>
    </w:p>
    <w:p w14:paraId="70003BCA" w14:textId="77777777" w:rsidR="00E51A2E" w:rsidRPr="00597443" w:rsidRDefault="00E51A2E" w:rsidP="00E51A2E">
      <w:pPr>
        <w:pStyle w:val="aa"/>
        <w:spacing w:after="0" w:line="240" w:lineRule="auto"/>
        <w:ind w:left="771"/>
        <w:rPr>
          <w:rFonts w:eastAsia="Times New Roman" w:cs="Times New Roman"/>
          <w:sz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51A2E" w:rsidRPr="00597443" w14:paraId="04588CF4" w14:textId="77777777" w:rsidTr="007E3A0A">
        <w:trPr>
          <w:trHeight w:val="294"/>
        </w:trPr>
        <w:tc>
          <w:tcPr>
            <w:tcW w:w="10314" w:type="dxa"/>
            <w:shd w:val="clear" w:color="auto" w:fill="auto"/>
          </w:tcPr>
          <w:p w14:paraId="5402A3F3" w14:textId="77777777" w:rsidR="00E51A2E" w:rsidRPr="00907B75" w:rsidRDefault="00E51A2E" w:rsidP="007E3A0A">
            <w:pPr>
              <w:ind w:firstLine="34"/>
              <w:rPr>
                <w:sz w:val="20"/>
                <w:szCs w:val="20"/>
              </w:rPr>
            </w:pPr>
            <w:r w:rsidRPr="00907B75">
              <w:rPr>
                <w:color w:val="403152" w:themeColor="accent4" w:themeShade="80"/>
                <w:sz w:val="20"/>
                <w:szCs w:val="20"/>
              </w:rPr>
              <w:t xml:space="preserve">Аттестованным бухгалтерам, не имеющим задолженности по оплате взносов, выдается </w:t>
            </w:r>
            <w:r w:rsidRPr="00907B75">
              <w:rPr>
                <w:b/>
                <w:color w:val="403152" w:themeColor="accent4" w:themeShade="80"/>
                <w:sz w:val="20"/>
                <w:szCs w:val="20"/>
              </w:rPr>
              <w:t>сертификат на 10 часов</w:t>
            </w:r>
            <w:r w:rsidRPr="00907B75">
              <w:rPr>
                <w:color w:val="403152" w:themeColor="accent4" w:themeShade="80"/>
                <w:sz w:val="20"/>
                <w:szCs w:val="20"/>
              </w:rPr>
              <w:t xml:space="preserve"> системы </w:t>
            </w:r>
            <w:r w:rsidRPr="00907B75">
              <w:rPr>
                <w:b/>
                <w:color w:val="403152" w:themeColor="accent4" w:themeShade="80"/>
                <w:sz w:val="20"/>
                <w:szCs w:val="20"/>
                <w:lang w:val="en-US"/>
              </w:rPr>
              <w:t>UCPA</w:t>
            </w:r>
            <w:r w:rsidRPr="00907B75">
              <w:rPr>
                <w:color w:val="403152" w:themeColor="accent4" w:themeShade="80"/>
                <w:sz w:val="20"/>
                <w:szCs w:val="20"/>
              </w:rPr>
              <w:t xml:space="preserve"> в зачет </w:t>
            </w:r>
            <w:r w:rsidRPr="00907B75">
              <w:rPr>
                <w:b/>
                <w:color w:val="403152" w:themeColor="accent4" w:themeShade="80"/>
                <w:sz w:val="20"/>
                <w:szCs w:val="20"/>
              </w:rPr>
              <w:t>40-часовой</w:t>
            </w:r>
            <w:r w:rsidRPr="00907B75">
              <w:rPr>
                <w:color w:val="403152" w:themeColor="accent4" w:themeShade="80"/>
                <w:sz w:val="20"/>
                <w:szCs w:val="20"/>
              </w:rPr>
              <w:t xml:space="preserve"> программы повышения квалификации.</w:t>
            </w:r>
          </w:p>
        </w:tc>
      </w:tr>
    </w:tbl>
    <w:p w14:paraId="542420CA" w14:textId="77777777" w:rsidR="00E51A2E" w:rsidRDefault="00E51A2E" w:rsidP="00E51A2E">
      <w:pPr>
        <w:rPr>
          <w:color w:val="000000" w:themeColor="text1"/>
          <w:sz w:val="18"/>
          <w:szCs w:val="20"/>
        </w:rPr>
      </w:pPr>
    </w:p>
    <w:p w14:paraId="46CD0C9B" w14:textId="77777777" w:rsidR="00E51A2E" w:rsidRPr="00635A0B" w:rsidRDefault="00E51A2E" w:rsidP="00635A0B">
      <w:pPr>
        <w:rPr>
          <w:b/>
          <w:sz w:val="18"/>
          <w:szCs w:val="18"/>
        </w:rPr>
      </w:pPr>
    </w:p>
    <w:p w14:paraId="0DB3B494" w14:textId="77777777" w:rsidR="00635A0B" w:rsidRPr="00CC4A0C" w:rsidRDefault="00635A0B" w:rsidP="0020276A">
      <w:pPr>
        <w:pStyle w:val="a3"/>
        <w:rPr>
          <w:b/>
        </w:rPr>
      </w:pPr>
    </w:p>
    <w:sectPr w:rsidR="00635A0B" w:rsidRPr="00CC4A0C" w:rsidSect="00635A0B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5B1"/>
    <w:multiLevelType w:val="hybridMultilevel"/>
    <w:tmpl w:val="52E233E4"/>
    <w:lvl w:ilvl="0" w:tplc="FCEA5D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54"/>
    <w:rsid w:val="00001203"/>
    <w:rsid w:val="00044BD1"/>
    <w:rsid w:val="00071868"/>
    <w:rsid w:val="000821D1"/>
    <w:rsid w:val="001C6A9C"/>
    <w:rsid w:val="001F0878"/>
    <w:rsid w:val="0020276A"/>
    <w:rsid w:val="0024247B"/>
    <w:rsid w:val="0026156C"/>
    <w:rsid w:val="00293A88"/>
    <w:rsid w:val="002E2594"/>
    <w:rsid w:val="003A060B"/>
    <w:rsid w:val="00454173"/>
    <w:rsid w:val="00477273"/>
    <w:rsid w:val="00516E25"/>
    <w:rsid w:val="00565080"/>
    <w:rsid w:val="00635A0B"/>
    <w:rsid w:val="006D38FE"/>
    <w:rsid w:val="006F2903"/>
    <w:rsid w:val="00723DBB"/>
    <w:rsid w:val="00760F7C"/>
    <w:rsid w:val="00780F17"/>
    <w:rsid w:val="007C6B40"/>
    <w:rsid w:val="00836E75"/>
    <w:rsid w:val="008703D5"/>
    <w:rsid w:val="00927C5B"/>
    <w:rsid w:val="009421D5"/>
    <w:rsid w:val="00B44B54"/>
    <w:rsid w:val="00BD46AC"/>
    <w:rsid w:val="00CC0F60"/>
    <w:rsid w:val="00DB5B5E"/>
    <w:rsid w:val="00DD310A"/>
    <w:rsid w:val="00E43885"/>
    <w:rsid w:val="00E51A2E"/>
    <w:rsid w:val="00EA7565"/>
    <w:rsid w:val="00EF6180"/>
    <w:rsid w:val="00F70C41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4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Мой"/>
    <w:qFormat/>
    <w:rsid w:val="00B4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F6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0F60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C0F60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C0F60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C0F60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C0F60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qFormat/>
    <w:rsid w:val="00CC0F60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4">
    <w:name w:val="Статья Знак"/>
    <w:basedOn w:val="a0"/>
    <w:link w:val="a3"/>
    <w:rsid w:val="00CC0F6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C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0F6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CC0F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rsid w:val="00CC0F6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rsid w:val="00CC0F6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5">
    <w:name w:val="Title"/>
    <w:basedOn w:val="a"/>
    <w:next w:val="a"/>
    <w:link w:val="a6"/>
    <w:uiPriority w:val="10"/>
    <w:qFormat/>
    <w:rsid w:val="00CC0F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CC0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qFormat/>
    <w:rsid w:val="00CC0F60"/>
    <w:rPr>
      <w:b/>
      <w:bCs/>
    </w:rPr>
  </w:style>
  <w:style w:type="character" w:styleId="a8">
    <w:name w:val="Emphasis"/>
    <w:basedOn w:val="a0"/>
    <w:uiPriority w:val="20"/>
    <w:qFormat/>
    <w:rsid w:val="00CC0F60"/>
    <w:rPr>
      <w:i/>
      <w:iCs/>
    </w:rPr>
  </w:style>
  <w:style w:type="paragraph" w:styleId="a9">
    <w:name w:val="No Spacing"/>
    <w:uiPriority w:val="1"/>
    <w:qFormat/>
    <w:rsid w:val="00CC0F60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CC0F60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35A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A0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5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Мой"/>
    <w:qFormat/>
    <w:rsid w:val="00B4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F60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C0F60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C0F60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C0F60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C0F60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CC0F60"/>
    <w:pPr>
      <w:keepNext/>
      <w:keepLines/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qFormat/>
    <w:rsid w:val="00CC0F60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4">
    <w:name w:val="Статья Знак"/>
    <w:basedOn w:val="a0"/>
    <w:link w:val="a3"/>
    <w:rsid w:val="00CC0F6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C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C0F6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CC0F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rsid w:val="00CC0F6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uiPriority w:val="9"/>
    <w:rsid w:val="00CC0F6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5">
    <w:name w:val="Title"/>
    <w:basedOn w:val="a"/>
    <w:next w:val="a"/>
    <w:link w:val="a6"/>
    <w:uiPriority w:val="10"/>
    <w:qFormat/>
    <w:rsid w:val="00CC0F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CC0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qFormat/>
    <w:rsid w:val="00CC0F60"/>
    <w:rPr>
      <w:b/>
      <w:bCs/>
    </w:rPr>
  </w:style>
  <w:style w:type="character" w:styleId="a8">
    <w:name w:val="Emphasis"/>
    <w:basedOn w:val="a0"/>
    <w:uiPriority w:val="20"/>
    <w:qFormat/>
    <w:rsid w:val="00CC0F60"/>
    <w:rPr>
      <w:i/>
      <w:iCs/>
    </w:rPr>
  </w:style>
  <w:style w:type="paragraph" w:styleId="a9">
    <w:name w:val="No Spacing"/>
    <w:uiPriority w:val="1"/>
    <w:qFormat/>
    <w:rsid w:val="00CC0F60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CC0F60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35A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A0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5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Кирсанова Светлана Олеговна</cp:lastModifiedBy>
  <cp:revision>3</cp:revision>
  <cp:lastPrinted>2021-03-17T07:22:00Z</cp:lastPrinted>
  <dcterms:created xsi:type="dcterms:W3CDTF">2021-05-18T07:40:00Z</dcterms:created>
  <dcterms:modified xsi:type="dcterms:W3CDTF">2021-05-18T08:48:00Z</dcterms:modified>
</cp:coreProperties>
</file>